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6" w:afterLines="300"/>
        <w:jc w:val="center"/>
        <w:rPr>
          <w:rFonts w:ascii="黑体" w:hAnsi="黑体" w:eastAsia="黑体"/>
          <w:bCs/>
          <w:color w:val="auto"/>
          <w:sz w:val="96"/>
          <w:szCs w:val="96"/>
        </w:rPr>
      </w:pPr>
      <w:r>
        <w:rPr>
          <w:rFonts w:hint="eastAsia" w:ascii="黑体" w:hAnsi="黑体" w:eastAsia="黑体"/>
          <w:bCs/>
          <w:color w:val="auto"/>
          <w:sz w:val="96"/>
          <w:szCs w:val="96"/>
        </w:rPr>
        <w:t>潜江市政府采购</w:t>
      </w:r>
    </w:p>
    <w:p>
      <w:pPr>
        <w:spacing w:after="936" w:afterLines="300"/>
        <w:jc w:val="center"/>
        <w:rPr>
          <w:rFonts w:ascii="黑体" w:hAnsi="黑体" w:eastAsia="黑体"/>
          <w:bCs/>
          <w:color w:val="auto"/>
          <w:sz w:val="72"/>
          <w:szCs w:val="72"/>
        </w:rPr>
      </w:pPr>
      <w:r>
        <w:rPr>
          <w:rFonts w:hint="eastAsia" w:ascii="黑体" w:hAnsi="黑体" w:eastAsia="黑体"/>
          <w:bCs/>
          <w:color w:val="auto"/>
          <w:sz w:val="72"/>
          <w:szCs w:val="72"/>
        </w:rPr>
        <w:t>招 标 文 件</w:t>
      </w:r>
    </w:p>
    <w:p>
      <w:pPr>
        <w:spacing w:after="936" w:afterLines="300"/>
        <w:rPr>
          <w:rFonts w:ascii="黑体" w:hAnsi="黑体" w:eastAsia="黑体"/>
          <w:b/>
          <w:color w:val="auto"/>
          <w:sz w:val="72"/>
          <w:szCs w:val="72"/>
        </w:rPr>
      </w:pPr>
    </w:p>
    <w:p>
      <w:pPr>
        <w:spacing w:after="936" w:afterLines="300"/>
        <w:rPr>
          <w:rFonts w:ascii="黑体" w:hAnsi="黑体" w:eastAsia="黑体"/>
          <w:b/>
          <w:color w:val="auto"/>
          <w:sz w:val="28"/>
          <w:szCs w:val="28"/>
        </w:rPr>
      </w:pPr>
    </w:p>
    <w:p>
      <w:pPr>
        <w:spacing w:line="360" w:lineRule="auto"/>
        <w:ind w:right="1306" w:rightChars="622"/>
        <w:rPr>
          <w:rFonts w:ascii="宋体" w:hAnsi="宋体" w:cs="宋体"/>
          <w:b/>
          <w:bCs/>
          <w:color w:val="auto"/>
          <w:sz w:val="28"/>
          <w:szCs w:val="28"/>
          <w:highlight w:val="none"/>
        </w:rPr>
      </w:pPr>
      <w:r>
        <w:rPr>
          <w:rFonts w:hint="eastAsia" w:ascii="宋体" w:hAnsi="宋体" w:cs="宋体"/>
          <w:b/>
          <w:bCs/>
          <w:color w:val="auto"/>
          <w:sz w:val="28"/>
          <w:szCs w:val="28"/>
          <w:highlight w:val="none"/>
        </w:rPr>
        <w:t>项目编号：潜采字</w:t>
      </w:r>
      <w:r>
        <w:rPr>
          <w:rFonts w:hint="eastAsia" w:ascii="宋体" w:hAnsi="宋体" w:cs="宋体"/>
          <w:b/>
          <w:bCs/>
          <w:color w:val="auto"/>
          <w:sz w:val="28"/>
          <w:szCs w:val="28"/>
          <w:highlight w:val="none"/>
          <w:lang w:val="en-US" w:eastAsia="zh-CN"/>
        </w:rPr>
        <w:t>-2022-0003</w:t>
      </w:r>
      <w:bookmarkStart w:id="274" w:name="_GoBack"/>
      <w:bookmarkEnd w:id="274"/>
    </w:p>
    <w:p>
      <w:pPr>
        <w:spacing w:line="360" w:lineRule="auto"/>
        <w:rPr>
          <w:rFonts w:ascii="宋体" w:hAnsi="宋体" w:cs="宋体"/>
          <w:b/>
          <w:bCs/>
          <w:color w:val="000000"/>
          <w:sz w:val="28"/>
          <w:szCs w:val="28"/>
        </w:rPr>
      </w:pPr>
      <w:r>
        <w:rPr>
          <w:rFonts w:hint="eastAsia" w:ascii="宋体" w:hAnsi="宋体" w:cs="宋体"/>
          <w:b/>
          <w:bCs/>
          <w:color w:val="auto"/>
          <w:sz w:val="28"/>
          <w:szCs w:val="28"/>
        </w:rPr>
        <w:t>项目名称：</w:t>
      </w:r>
      <w:r>
        <w:rPr>
          <w:rStyle w:val="236"/>
          <w:rFonts w:hint="eastAsia" w:ascii="宋体" w:hAnsi="宋体"/>
          <w:b/>
          <w:bCs/>
          <w:color w:val="000000"/>
          <w:kern w:val="0"/>
          <w:sz w:val="28"/>
          <w:szCs w:val="28"/>
        </w:rPr>
        <w:t>不动产登记系统和交易一体化系统安全等级保护测评整改</w:t>
      </w:r>
    </w:p>
    <w:p>
      <w:pPr>
        <w:spacing w:line="360" w:lineRule="auto"/>
        <w:ind w:right="1306" w:rightChars="622"/>
        <w:rPr>
          <w:rFonts w:ascii="宋体" w:hAnsi="宋体" w:cs="宋体"/>
          <w:b/>
          <w:bCs/>
          <w:color w:val="auto"/>
          <w:sz w:val="28"/>
          <w:szCs w:val="28"/>
        </w:rPr>
      </w:pPr>
    </w:p>
    <w:p>
      <w:pPr>
        <w:tabs>
          <w:tab w:val="left" w:pos="7939"/>
        </w:tabs>
        <w:spacing w:line="360" w:lineRule="auto"/>
        <w:jc w:val="center"/>
        <w:rPr>
          <w:rFonts w:ascii="黑体" w:hAnsi="黑体" w:eastAsia="黑体"/>
          <w:b/>
          <w:bCs/>
          <w:color w:val="auto"/>
          <w:sz w:val="30"/>
          <w:szCs w:val="30"/>
        </w:rPr>
      </w:pPr>
    </w:p>
    <w:p>
      <w:pPr>
        <w:tabs>
          <w:tab w:val="left" w:pos="7939"/>
        </w:tabs>
        <w:spacing w:line="360" w:lineRule="auto"/>
        <w:jc w:val="center"/>
        <w:rPr>
          <w:rFonts w:ascii="黑体" w:hAnsi="黑体" w:eastAsia="黑体"/>
          <w:b/>
          <w:color w:val="auto"/>
          <w:sz w:val="30"/>
          <w:szCs w:val="30"/>
        </w:rPr>
      </w:pPr>
    </w:p>
    <w:p>
      <w:pPr>
        <w:tabs>
          <w:tab w:val="left" w:pos="7939"/>
        </w:tabs>
        <w:spacing w:line="360" w:lineRule="auto"/>
        <w:jc w:val="center"/>
        <w:rPr>
          <w:rFonts w:ascii="黑体" w:hAnsi="黑体" w:eastAsia="黑体"/>
          <w:bCs/>
          <w:color w:val="auto"/>
          <w:sz w:val="44"/>
        </w:rPr>
      </w:pPr>
      <w:r>
        <w:rPr>
          <w:rFonts w:hint="eastAsia" w:ascii="黑体" w:hAnsi="黑体" w:eastAsia="黑体"/>
          <w:bCs/>
          <w:color w:val="auto"/>
          <w:sz w:val="44"/>
        </w:rPr>
        <w:t>潜江市政府采购中心</w:t>
      </w:r>
    </w:p>
    <w:p>
      <w:pPr>
        <w:jc w:val="center"/>
        <w:rPr>
          <w:rFonts w:ascii="黑体" w:hAnsi="黑体" w:eastAsia="黑体"/>
          <w:bCs/>
          <w:color w:val="auto"/>
          <w:sz w:val="44"/>
        </w:rPr>
      </w:pPr>
      <w:r>
        <w:rPr>
          <w:rFonts w:hint="eastAsia" w:ascii="黑体" w:hAnsi="黑体" w:eastAsia="黑体"/>
          <w:bCs/>
          <w:color w:val="auto"/>
          <w:sz w:val="44"/>
        </w:rPr>
        <w:t>2022年</w:t>
      </w:r>
      <w:r>
        <w:rPr>
          <w:rFonts w:hint="default" w:ascii="黑体" w:hAnsi="黑体" w:eastAsia="黑体"/>
          <w:bCs/>
          <w:color w:val="auto"/>
          <w:sz w:val="44"/>
        </w:rPr>
        <w:t>7</w:t>
      </w:r>
      <w:r>
        <w:rPr>
          <w:rFonts w:hint="eastAsia" w:ascii="黑体" w:hAnsi="黑体" w:eastAsia="黑体"/>
          <w:bCs/>
          <w:color w:val="auto"/>
          <w:sz w:val="44"/>
        </w:rPr>
        <w:t>月</w:t>
      </w:r>
    </w:p>
    <w:p>
      <w:pPr>
        <w:rPr>
          <w:bCs/>
          <w:color w:val="auto"/>
        </w:rPr>
        <w:sectPr>
          <w:headerReference r:id="rId3" w:type="default"/>
          <w:footerReference r:id="rId5" w:type="default"/>
          <w:headerReference r:id="rId4" w:type="even"/>
          <w:footerReference r:id="rId6" w:type="even"/>
          <w:pgSz w:w="11906" w:h="16838"/>
          <w:pgMar w:top="3402" w:right="1191" w:bottom="1134" w:left="1191" w:header="851" w:footer="737" w:gutter="0"/>
          <w:cols w:space="720" w:num="1"/>
          <w:docGrid w:type="lines" w:linePitch="312" w:charSpace="0"/>
        </w:sectPr>
      </w:pPr>
    </w:p>
    <w:p>
      <w:pPr>
        <w:spacing w:before="312" w:beforeLines="100"/>
        <w:jc w:val="center"/>
        <w:rPr>
          <w:rFonts w:ascii="黑体" w:hAnsi="黑体" w:eastAsia="黑体"/>
          <w:color w:val="auto"/>
          <w:sz w:val="44"/>
          <w:szCs w:val="44"/>
        </w:rPr>
      </w:pPr>
      <w:r>
        <w:rPr>
          <w:rFonts w:hint="eastAsia" w:ascii="黑体" w:hAnsi="黑体" w:eastAsia="黑体"/>
          <w:color w:val="auto"/>
          <w:sz w:val="44"/>
          <w:szCs w:val="44"/>
        </w:rPr>
        <w:t>目录</w:t>
      </w:r>
    </w:p>
    <w:p>
      <w:pPr>
        <w:pStyle w:val="21"/>
        <w:tabs>
          <w:tab w:val="right" w:leader="dot" w:pos="9524"/>
        </w:tabs>
      </w:pPr>
      <w:r>
        <w:rPr>
          <w:rFonts w:hint="eastAsia" w:ascii="宋体" w:hAnsi="宋体" w:eastAsia="宋体"/>
          <w:b w:val="0"/>
          <w:color w:val="auto"/>
          <w:sz w:val="24"/>
        </w:rPr>
        <w:fldChar w:fldCharType="begin"/>
      </w:r>
      <w:r>
        <w:rPr>
          <w:rFonts w:hint="eastAsia" w:ascii="宋体" w:hAnsi="宋体" w:eastAsia="宋体"/>
          <w:b w:val="0"/>
          <w:color w:val="auto"/>
          <w:sz w:val="24"/>
        </w:rPr>
        <w:instrText xml:space="preserve"> TOC \o "1-2" \h \z \u </w:instrText>
      </w:r>
      <w:r>
        <w:rPr>
          <w:rFonts w:hint="eastAsia" w:ascii="宋体" w:hAnsi="宋体" w:eastAsia="宋体"/>
          <w:b w:val="0"/>
          <w:color w:val="auto"/>
          <w:sz w:val="24"/>
        </w:rPr>
        <w:fldChar w:fldCharType="separate"/>
      </w:r>
      <w:r>
        <w:rPr>
          <w:rFonts w:hint="eastAsia" w:ascii="宋体" w:hAnsi="宋体" w:eastAsia="宋体"/>
          <w:color w:val="auto"/>
        </w:rPr>
        <w:fldChar w:fldCharType="begin"/>
      </w:r>
      <w:r>
        <w:rPr>
          <w:rFonts w:hint="eastAsia" w:ascii="宋体" w:hAnsi="宋体" w:eastAsia="宋体"/>
        </w:rPr>
        <w:instrText xml:space="preserve"> HYPERLINK \l _Toc28212 </w:instrText>
      </w:r>
      <w:r>
        <w:rPr>
          <w:rFonts w:hint="eastAsia" w:ascii="宋体" w:hAnsi="宋体" w:eastAsia="宋体"/>
        </w:rPr>
        <w:fldChar w:fldCharType="separate"/>
      </w:r>
      <w:r>
        <w:rPr>
          <w:rFonts w:hint="default"/>
          <w:strike w:val="0"/>
        </w:rPr>
        <w:t xml:space="preserve">第一章 </w:t>
      </w:r>
      <w:r>
        <w:rPr>
          <w:rFonts w:hint="eastAsia" w:ascii="黑体" w:hAnsi="黑体" w:eastAsia="黑体"/>
        </w:rPr>
        <w:t>投标邀请书</w:t>
      </w:r>
      <w:r>
        <w:tab/>
      </w:r>
      <w:r>
        <w:fldChar w:fldCharType="begin"/>
      </w:r>
      <w:r>
        <w:instrText xml:space="preserve"> PAGEREF _Toc28212 \h </w:instrText>
      </w:r>
      <w:r>
        <w:fldChar w:fldCharType="separate"/>
      </w:r>
      <w:r>
        <w:t>1</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_Toc8528 </w:instrText>
      </w:r>
      <w:r>
        <w:rPr>
          <w:rFonts w:hint="eastAsia" w:ascii="宋体" w:hAnsi="宋体" w:eastAsia="宋体"/>
        </w:rPr>
        <w:fldChar w:fldCharType="separate"/>
      </w:r>
      <w:r>
        <w:rPr>
          <w:rFonts w:hint="eastAsia" w:ascii="宋体" w:hAnsi="宋体" w:eastAsia="宋体" w:cs="宋体"/>
          <w:bCs w:val="0"/>
          <w:szCs w:val="24"/>
        </w:rPr>
        <w:t>一、项目基本情况</w:t>
      </w:r>
      <w:r>
        <w:tab/>
      </w:r>
      <w:r>
        <w:fldChar w:fldCharType="begin"/>
      </w:r>
      <w:r>
        <w:instrText xml:space="preserve"> PAGEREF _Toc8528 \h </w:instrText>
      </w:r>
      <w:r>
        <w:fldChar w:fldCharType="separate"/>
      </w:r>
      <w:r>
        <w:t>1</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_Toc8628 </w:instrText>
      </w:r>
      <w:r>
        <w:rPr>
          <w:rFonts w:hint="eastAsia" w:ascii="宋体" w:hAnsi="宋体" w:eastAsia="宋体"/>
        </w:rPr>
        <w:fldChar w:fldCharType="separate"/>
      </w:r>
      <w:r>
        <w:rPr>
          <w:rFonts w:hint="eastAsia" w:ascii="宋体" w:hAnsi="宋体" w:eastAsia="宋体" w:cs="宋体"/>
          <w:bCs w:val="0"/>
          <w:szCs w:val="24"/>
        </w:rPr>
        <w:t>二、申请人的资格要求</w:t>
      </w:r>
      <w:r>
        <w:tab/>
      </w:r>
      <w:r>
        <w:fldChar w:fldCharType="begin"/>
      </w:r>
      <w:r>
        <w:instrText xml:space="preserve"> PAGEREF _Toc8628 \h </w:instrText>
      </w:r>
      <w:r>
        <w:fldChar w:fldCharType="separate"/>
      </w:r>
      <w:r>
        <w:t>1</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_Toc5136 </w:instrText>
      </w:r>
      <w:r>
        <w:rPr>
          <w:rFonts w:hint="eastAsia" w:ascii="宋体" w:hAnsi="宋体" w:eastAsia="宋体"/>
        </w:rPr>
        <w:fldChar w:fldCharType="separate"/>
      </w:r>
      <w:r>
        <w:rPr>
          <w:rFonts w:hint="default" w:ascii="黑体" w:hAnsi="黑体" w:eastAsia="黑体"/>
          <w:strike w:val="0"/>
        </w:rPr>
        <w:t xml:space="preserve">第二章 </w:t>
      </w:r>
      <w:r>
        <w:rPr>
          <w:rFonts w:hint="eastAsia" w:ascii="黑体" w:hAnsi="黑体" w:eastAsia="黑体"/>
        </w:rPr>
        <w:t>投标人须知</w:t>
      </w:r>
      <w:r>
        <w:tab/>
      </w:r>
      <w:r>
        <w:fldChar w:fldCharType="begin"/>
      </w:r>
      <w:r>
        <w:instrText xml:space="preserve"> PAGEREF _Toc5136 \h </w:instrText>
      </w:r>
      <w:r>
        <w:fldChar w:fldCharType="separate"/>
      </w:r>
      <w:r>
        <w:t>4</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_Toc24662 </w:instrText>
      </w:r>
      <w:r>
        <w:rPr>
          <w:rFonts w:hint="eastAsia" w:ascii="宋体" w:hAnsi="宋体" w:eastAsia="宋体"/>
        </w:rPr>
        <w:fldChar w:fldCharType="separate"/>
      </w:r>
      <w:r>
        <w:rPr>
          <w:rFonts w:hint="eastAsia" w:ascii="宋体" w:hAnsi="宋体" w:eastAsia="宋体" w:cs="宋体"/>
          <w:bCs/>
          <w:kern w:val="2"/>
          <w:szCs w:val="24"/>
          <w:lang w:val="zh-CN"/>
        </w:rPr>
        <w:t>投标须知前附表</w:t>
      </w:r>
      <w:r>
        <w:tab/>
      </w:r>
      <w:r>
        <w:fldChar w:fldCharType="begin"/>
      </w:r>
      <w:r>
        <w:instrText xml:space="preserve"> PAGEREF _Toc24662 \h </w:instrText>
      </w:r>
      <w:r>
        <w:fldChar w:fldCharType="separate"/>
      </w:r>
      <w:r>
        <w:t>4</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_Toc22433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一、 </w:t>
      </w:r>
      <w:r>
        <w:rPr>
          <w:rFonts w:hint="eastAsia" w:ascii="宋体" w:hAnsi="宋体" w:eastAsia="宋体" w:cs="宋体"/>
          <w:bCs w:val="0"/>
          <w:lang w:val="zh-CN" w:eastAsia="zh-CN"/>
        </w:rPr>
        <w:t>说  明</w:t>
      </w:r>
      <w:r>
        <w:tab/>
      </w:r>
      <w:r>
        <w:fldChar w:fldCharType="begin"/>
      </w:r>
      <w:r>
        <w:instrText xml:space="preserve"> PAGEREF _Toc22433 \h </w:instrText>
      </w:r>
      <w:r>
        <w:fldChar w:fldCharType="separate"/>
      </w:r>
      <w:r>
        <w:t>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_Toc19162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二、 </w:t>
      </w:r>
      <w:r>
        <w:rPr>
          <w:rFonts w:hint="eastAsia" w:ascii="宋体" w:hAnsi="宋体" w:eastAsia="宋体" w:cs="宋体"/>
          <w:bCs w:val="0"/>
          <w:lang w:val="zh-CN" w:eastAsia="zh-CN"/>
        </w:rPr>
        <w:t>招标文件</w:t>
      </w:r>
      <w:r>
        <w:tab/>
      </w:r>
      <w:r>
        <w:fldChar w:fldCharType="begin"/>
      </w:r>
      <w:r>
        <w:instrText xml:space="preserve"> PAGEREF _Toc19162 \h </w:instrText>
      </w:r>
      <w:r>
        <w:fldChar w:fldCharType="separate"/>
      </w:r>
      <w:r>
        <w:t>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_Toc23954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三、 </w:t>
      </w:r>
      <w:r>
        <w:rPr>
          <w:rFonts w:hint="eastAsia" w:ascii="宋体" w:hAnsi="宋体" w:eastAsia="宋体" w:cs="宋体"/>
          <w:bCs w:val="0"/>
          <w:lang w:val="zh-CN" w:eastAsia="zh-CN"/>
        </w:rPr>
        <w:t>投标文件</w:t>
      </w:r>
      <w:r>
        <w:tab/>
      </w:r>
      <w:r>
        <w:fldChar w:fldCharType="begin"/>
      </w:r>
      <w:r>
        <w:instrText xml:space="preserve"> PAGEREF _Toc23954 \h </w:instrText>
      </w:r>
      <w:r>
        <w:fldChar w:fldCharType="separate"/>
      </w:r>
      <w:r>
        <w:t>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_Toc14644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四、 </w:t>
      </w:r>
      <w:r>
        <w:rPr>
          <w:rFonts w:hint="eastAsia" w:ascii="宋体" w:hAnsi="宋体" w:eastAsia="宋体" w:cs="宋体"/>
          <w:bCs w:val="0"/>
          <w:lang w:val="zh-CN" w:eastAsia="zh-CN"/>
        </w:rPr>
        <w:t>开标与评标</w:t>
      </w:r>
      <w:r>
        <w:tab/>
      </w:r>
      <w:r>
        <w:fldChar w:fldCharType="begin"/>
      </w:r>
      <w:r>
        <w:instrText xml:space="preserve"> PAGEREF _Toc14644 \h </w:instrText>
      </w:r>
      <w:r>
        <w:fldChar w:fldCharType="separate"/>
      </w:r>
      <w:r>
        <w:t>13</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_Toc8220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五、 </w:t>
      </w:r>
      <w:r>
        <w:rPr>
          <w:rFonts w:hint="eastAsia" w:ascii="宋体" w:hAnsi="宋体" w:eastAsia="宋体" w:cs="宋体"/>
          <w:bCs w:val="0"/>
          <w:lang w:val="zh-CN" w:eastAsia="zh-CN"/>
        </w:rPr>
        <w:t>投标人信用信息及查询</w:t>
      </w:r>
      <w:r>
        <w:tab/>
      </w:r>
      <w:r>
        <w:fldChar w:fldCharType="begin"/>
      </w:r>
      <w:r>
        <w:instrText xml:space="preserve"> PAGEREF _Toc8220 \h </w:instrText>
      </w:r>
      <w:r>
        <w:fldChar w:fldCharType="separate"/>
      </w:r>
      <w:r>
        <w:t>16</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_Toc7789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六、 </w:t>
      </w:r>
      <w:r>
        <w:rPr>
          <w:rFonts w:hint="eastAsia" w:ascii="宋体" w:hAnsi="宋体" w:eastAsia="宋体" w:cs="宋体"/>
          <w:bCs w:val="0"/>
          <w:lang w:val="zh-CN" w:eastAsia="zh-CN"/>
        </w:rPr>
        <w:t>中标与合同</w:t>
      </w:r>
      <w:r>
        <w:tab/>
      </w:r>
      <w:r>
        <w:fldChar w:fldCharType="begin"/>
      </w:r>
      <w:r>
        <w:instrText xml:space="preserve"> PAGEREF _Toc7789 \h </w:instrText>
      </w:r>
      <w:r>
        <w:fldChar w:fldCharType="separate"/>
      </w:r>
      <w:r>
        <w:t>17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_Toc26896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七、 </w:t>
      </w:r>
      <w:r>
        <w:rPr>
          <w:rFonts w:hint="eastAsia" w:ascii="宋体" w:hAnsi="宋体" w:eastAsia="宋体" w:cs="宋体"/>
          <w:bCs w:val="0"/>
          <w:lang w:val="zh-CN" w:eastAsia="zh-CN"/>
        </w:rPr>
        <w:t>采购信息公告</w:t>
      </w:r>
      <w:r>
        <w:tab/>
      </w:r>
      <w:r>
        <w:fldChar w:fldCharType="begin"/>
      </w:r>
      <w:r>
        <w:instrText xml:space="preserve"> PAGEREF _Toc26896 \h </w:instrText>
      </w:r>
      <w:r>
        <w:fldChar w:fldCharType="separate"/>
      </w:r>
      <w:r>
        <w:t>18</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_Toc23630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八、 </w:t>
      </w:r>
      <w:r>
        <w:rPr>
          <w:rFonts w:hint="eastAsia" w:ascii="宋体" w:hAnsi="宋体" w:eastAsia="宋体" w:cs="宋体"/>
          <w:bCs w:val="0"/>
          <w:lang w:val="zh-CN" w:eastAsia="zh-CN"/>
        </w:rPr>
        <w:t>质疑及提交</w:t>
      </w:r>
      <w:r>
        <w:tab/>
      </w:r>
      <w:r>
        <w:fldChar w:fldCharType="begin"/>
      </w:r>
      <w:r>
        <w:instrText xml:space="preserve"> PAGEREF _Toc23630 \h </w:instrText>
      </w:r>
      <w:r>
        <w:fldChar w:fldCharType="separate"/>
      </w:r>
      <w:r>
        <w:t>18</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_Toc23887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九、 </w:t>
      </w:r>
      <w:r>
        <w:rPr>
          <w:rFonts w:hint="eastAsia" w:ascii="宋体" w:hAnsi="宋体" w:eastAsia="宋体" w:cs="宋体"/>
          <w:bCs w:val="0"/>
          <w:lang w:val="zh-CN" w:eastAsia="zh-CN"/>
        </w:rPr>
        <w:t>相关条文解读</w:t>
      </w:r>
      <w:r>
        <w:tab/>
      </w:r>
      <w:r>
        <w:fldChar w:fldCharType="begin"/>
      </w:r>
      <w:r>
        <w:instrText xml:space="preserve"> PAGEREF _Toc23887 \h </w:instrText>
      </w:r>
      <w:r>
        <w:fldChar w:fldCharType="separate"/>
      </w:r>
      <w:r>
        <w:t>19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_Toc3471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十、 </w:t>
      </w:r>
      <w:r>
        <w:rPr>
          <w:rFonts w:hint="eastAsia" w:ascii="宋体" w:hAnsi="宋体" w:eastAsia="宋体" w:cs="宋体"/>
          <w:bCs w:val="0"/>
          <w:lang w:val="zh-CN" w:eastAsia="zh-CN"/>
        </w:rPr>
        <w:t>适用法律</w:t>
      </w:r>
      <w:r>
        <w:tab/>
      </w:r>
      <w:r>
        <w:fldChar w:fldCharType="begin"/>
      </w:r>
      <w:r>
        <w:instrText xml:space="preserve"> PAGEREF _Toc3471 \h </w:instrText>
      </w:r>
      <w:r>
        <w:fldChar w:fldCharType="separate"/>
      </w:r>
      <w:r>
        <w:t>20</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_Toc22715 </w:instrText>
      </w:r>
      <w:r>
        <w:rPr>
          <w:rFonts w:hint="eastAsia" w:ascii="宋体" w:hAnsi="宋体" w:eastAsia="宋体"/>
        </w:rPr>
        <w:fldChar w:fldCharType="separate"/>
      </w:r>
      <w:r>
        <w:rPr>
          <w:rFonts w:hint="eastAsia" w:ascii="宋体" w:hAnsi="宋体" w:eastAsia="宋体" w:cs="宋体"/>
          <w:bCs w:val="0"/>
          <w:szCs w:val="30"/>
          <w:lang w:val="zh-CN" w:eastAsia="zh-CN"/>
        </w:rPr>
        <w:t xml:space="preserve">十一、 </w:t>
      </w:r>
      <w:r>
        <w:rPr>
          <w:rFonts w:hint="eastAsia" w:ascii="宋体" w:hAnsi="宋体" w:eastAsia="宋体" w:cs="宋体"/>
          <w:bCs w:val="0"/>
          <w:lang w:val="zh-CN" w:eastAsia="zh-CN"/>
        </w:rPr>
        <w:t>招标文件的解释权</w:t>
      </w:r>
      <w:r>
        <w:tab/>
      </w:r>
      <w:r>
        <w:fldChar w:fldCharType="begin"/>
      </w:r>
      <w:r>
        <w:instrText xml:space="preserve"> PAGEREF _Toc22715 \h </w:instrText>
      </w:r>
      <w:r>
        <w:fldChar w:fldCharType="separate"/>
      </w:r>
      <w:r>
        <w:t>20</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_Toc16997 </w:instrText>
      </w:r>
      <w:r>
        <w:rPr>
          <w:rFonts w:hint="eastAsia" w:ascii="宋体" w:hAnsi="宋体" w:eastAsia="宋体"/>
        </w:rPr>
        <w:fldChar w:fldCharType="separate"/>
      </w:r>
      <w:r>
        <w:rPr>
          <w:rFonts w:hint="default" w:ascii="黑体" w:hAnsi="黑体" w:eastAsia="黑体"/>
          <w:strike w:val="0"/>
        </w:rPr>
        <w:t xml:space="preserve">第三章 </w:t>
      </w:r>
      <w:r>
        <w:rPr>
          <w:rFonts w:hint="eastAsia" w:ascii="黑体" w:hAnsi="黑体" w:eastAsia="黑体"/>
        </w:rPr>
        <w:t>项目技术、服务及商务要求</w:t>
      </w:r>
      <w:r>
        <w:tab/>
      </w:r>
      <w:r>
        <w:fldChar w:fldCharType="begin"/>
      </w:r>
      <w:r>
        <w:instrText xml:space="preserve"> PAGEREF _Toc16997 \h </w:instrText>
      </w:r>
      <w:r>
        <w:fldChar w:fldCharType="separate"/>
      </w:r>
      <w:r>
        <w:t>21</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_Toc18183 </w:instrText>
      </w:r>
      <w:r>
        <w:rPr>
          <w:rFonts w:hint="eastAsia" w:ascii="宋体" w:hAnsi="宋体" w:eastAsia="宋体"/>
        </w:rPr>
        <w:fldChar w:fldCharType="separate"/>
      </w:r>
      <w:r>
        <w:rPr>
          <w:rFonts w:hint="eastAsia" w:ascii="宋体" w:hAnsi="宋体" w:eastAsia="宋体" w:cs="宋体"/>
          <w:bCs/>
          <w:szCs w:val="24"/>
          <w:lang w:val="zh-CN"/>
        </w:rPr>
        <w:t>二、</w:t>
      </w:r>
      <w:r>
        <w:rPr>
          <w:rFonts w:hint="eastAsia" w:ascii="宋体" w:hAnsi="宋体" w:eastAsia="宋体" w:cs="宋体"/>
          <w:bCs/>
          <w:szCs w:val="28"/>
          <w:lang w:val="zh-CN"/>
        </w:rPr>
        <w:t>项目概述及简介</w:t>
      </w:r>
      <w:r>
        <w:tab/>
      </w:r>
      <w:r>
        <w:fldChar w:fldCharType="begin"/>
      </w:r>
      <w:r>
        <w:instrText xml:space="preserve"> PAGEREF _Toc18183 \h </w:instrText>
      </w:r>
      <w:r>
        <w:fldChar w:fldCharType="separate"/>
      </w:r>
      <w:r>
        <w:t>22</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_Toc19113 </w:instrText>
      </w:r>
      <w:r>
        <w:rPr>
          <w:rFonts w:hint="eastAsia" w:ascii="宋体" w:hAnsi="宋体" w:eastAsia="宋体"/>
        </w:rPr>
        <w:fldChar w:fldCharType="separate"/>
      </w:r>
      <w:r>
        <w:rPr>
          <w:rFonts w:hint="eastAsia" w:ascii="宋体" w:hAnsi="宋体"/>
          <w:bCs/>
          <w:lang w:val="zh-CN"/>
        </w:rPr>
        <w:t>三、</w:t>
      </w:r>
      <w:r>
        <w:rPr>
          <w:rFonts w:hint="eastAsia" w:ascii="宋体" w:hAnsi="宋体"/>
          <w:bCs/>
          <w:szCs w:val="28"/>
          <w:lang w:val="zh-CN"/>
        </w:rPr>
        <w:t>国家相关行政主管部门颁布的强制标准、规范</w:t>
      </w:r>
      <w:r>
        <w:tab/>
      </w:r>
      <w:r>
        <w:fldChar w:fldCharType="begin"/>
      </w:r>
      <w:r>
        <w:instrText xml:space="preserve"> PAGEREF _Toc19113 \h </w:instrText>
      </w:r>
      <w:r>
        <w:fldChar w:fldCharType="separate"/>
      </w:r>
      <w:r>
        <w:t>24</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_Toc18398 </w:instrText>
      </w:r>
      <w:r>
        <w:rPr>
          <w:rFonts w:hint="eastAsia" w:ascii="宋体" w:hAnsi="宋体" w:eastAsia="宋体"/>
        </w:rPr>
        <w:fldChar w:fldCharType="separate"/>
      </w:r>
      <w:r>
        <w:rPr>
          <w:rFonts w:hint="default" w:ascii="黑体" w:hAnsi="黑体" w:eastAsia="黑体"/>
          <w:strike w:val="0"/>
        </w:rPr>
        <w:t xml:space="preserve">第四章 </w:t>
      </w:r>
      <w:r>
        <w:rPr>
          <w:rFonts w:hint="eastAsia" w:ascii="黑体" w:hAnsi="黑体" w:eastAsia="黑体"/>
        </w:rPr>
        <w:t>资格审查方法及标准</w:t>
      </w:r>
      <w:r>
        <w:tab/>
      </w:r>
      <w:r>
        <w:fldChar w:fldCharType="begin"/>
      </w:r>
      <w:r>
        <w:instrText xml:space="preserve"> PAGEREF _Toc18398 \h </w:instrText>
      </w:r>
      <w:r>
        <w:fldChar w:fldCharType="separate"/>
      </w:r>
      <w:r>
        <w:t>37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_Toc16865 </w:instrText>
      </w:r>
      <w:r>
        <w:rPr>
          <w:rFonts w:hint="eastAsia" w:ascii="宋体" w:hAnsi="宋体" w:eastAsia="宋体"/>
        </w:rPr>
        <w:fldChar w:fldCharType="separate"/>
      </w:r>
      <w:r>
        <w:rPr>
          <w:rFonts w:hint="eastAsia" w:ascii="宋体" w:hAnsi="宋体" w:eastAsia="宋体" w:cs="宋体"/>
          <w:bCs w:val="0"/>
          <w:szCs w:val="30"/>
          <w:lang w:val="zh-CN" w:eastAsia="zh-CN"/>
        </w:rPr>
        <w:t>一、 资格审查方法</w:t>
      </w:r>
      <w:r>
        <w:tab/>
      </w:r>
      <w:r>
        <w:fldChar w:fldCharType="begin"/>
      </w:r>
      <w:r>
        <w:instrText xml:space="preserve"> PAGEREF _Toc16865 \h </w:instrText>
      </w:r>
      <w:r>
        <w:fldChar w:fldCharType="separate"/>
      </w:r>
      <w:r>
        <w:t>37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_Toc8482 </w:instrText>
      </w:r>
      <w:r>
        <w:rPr>
          <w:rFonts w:hint="eastAsia" w:ascii="宋体" w:hAnsi="宋体" w:eastAsia="宋体"/>
        </w:rPr>
        <w:fldChar w:fldCharType="separate"/>
      </w:r>
      <w:r>
        <w:rPr>
          <w:rFonts w:hint="eastAsia" w:ascii="宋体" w:hAnsi="宋体" w:eastAsia="宋体" w:cs="宋体"/>
          <w:bCs w:val="0"/>
          <w:szCs w:val="30"/>
          <w:lang w:val="zh-CN" w:eastAsia="zh-CN"/>
        </w:rPr>
        <w:t>二、 资格审查标准</w:t>
      </w:r>
      <w:r>
        <w:tab/>
      </w:r>
      <w:r>
        <w:fldChar w:fldCharType="begin"/>
      </w:r>
      <w:r>
        <w:instrText xml:space="preserve"> PAGEREF _Toc8482 \h </w:instrText>
      </w:r>
      <w:r>
        <w:fldChar w:fldCharType="separate"/>
      </w:r>
      <w:r>
        <w:t>37</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_Toc29943 </w:instrText>
      </w:r>
      <w:r>
        <w:rPr>
          <w:rFonts w:hint="eastAsia" w:ascii="宋体" w:hAnsi="宋体" w:eastAsia="宋体"/>
        </w:rPr>
        <w:fldChar w:fldCharType="separate"/>
      </w:r>
      <w:r>
        <w:rPr>
          <w:rFonts w:hint="default" w:ascii="黑体" w:hAnsi="黑体" w:eastAsia="黑体"/>
          <w:strike w:val="0"/>
        </w:rPr>
        <w:t xml:space="preserve">第五章 </w:t>
      </w:r>
      <w:r>
        <w:rPr>
          <w:rFonts w:hint="eastAsia" w:ascii="黑体" w:hAnsi="黑体" w:eastAsia="黑体"/>
        </w:rPr>
        <w:t>评标方法、程序及标准</w:t>
      </w:r>
      <w:r>
        <w:tab/>
      </w:r>
      <w:r>
        <w:fldChar w:fldCharType="begin"/>
      </w:r>
      <w:r>
        <w:instrText xml:space="preserve"> PAGEREF _Toc29943 \h </w:instrText>
      </w:r>
      <w:r>
        <w:fldChar w:fldCharType="separate"/>
      </w:r>
      <w:r>
        <w:t>40</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_Toc22620 </w:instrText>
      </w:r>
      <w:r>
        <w:rPr>
          <w:rFonts w:hint="eastAsia" w:ascii="宋体" w:hAnsi="宋体" w:eastAsia="宋体"/>
        </w:rPr>
        <w:fldChar w:fldCharType="separate"/>
      </w:r>
      <w:r>
        <w:rPr>
          <w:rFonts w:hint="eastAsia"/>
          <w:bCs/>
        </w:rPr>
        <w:t>一. 评标方法</w:t>
      </w:r>
      <w:r>
        <w:tab/>
      </w:r>
      <w:r>
        <w:fldChar w:fldCharType="begin"/>
      </w:r>
      <w:r>
        <w:instrText xml:space="preserve"> PAGEREF _Toc22620 \h </w:instrText>
      </w:r>
      <w:r>
        <w:fldChar w:fldCharType="separate"/>
      </w:r>
      <w:r>
        <w:t>40</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_Toc13935 </w:instrText>
      </w:r>
      <w:r>
        <w:rPr>
          <w:rFonts w:hint="eastAsia" w:ascii="宋体" w:hAnsi="宋体" w:eastAsia="宋体"/>
        </w:rPr>
        <w:fldChar w:fldCharType="separate"/>
      </w:r>
      <w:r>
        <w:rPr>
          <w:rFonts w:hint="eastAsia"/>
          <w:bCs/>
        </w:rPr>
        <w:t>二. 评标程序及标准</w:t>
      </w:r>
      <w:r>
        <w:tab/>
      </w:r>
      <w:r>
        <w:fldChar w:fldCharType="begin"/>
      </w:r>
      <w:r>
        <w:instrText xml:space="preserve"> PAGEREF _Toc13935 \h </w:instrText>
      </w:r>
      <w:r>
        <w:fldChar w:fldCharType="separate"/>
      </w:r>
      <w:r>
        <w:t>40</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_Toc21663 </w:instrText>
      </w:r>
      <w:r>
        <w:rPr>
          <w:rFonts w:hint="eastAsia" w:ascii="宋体" w:hAnsi="宋体" w:eastAsia="宋体"/>
        </w:rPr>
        <w:fldChar w:fldCharType="separate"/>
      </w:r>
      <w:r>
        <w:rPr>
          <w:rFonts w:hint="eastAsia"/>
          <w:bCs/>
        </w:rPr>
        <w:t>三. 评审因素及评分标准</w:t>
      </w:r>
      <w:r>
        <w:tab/>
      </w:r>
      <w:r>
        <w:fldChar w:fldCharType="begin"/>
      </w:r>
      <w:r>
        <w:instrText xml:space="preserve"> PAGEREF _Toc21663 \h </w:instrText>
      </w:r>
      <w:r>
        <w:fldChar w:fldCharType="separate"/>
      </w:r>
      <w:r>
        <w:t>44</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_Toc7495 </w:instrText>
      </w:r>
      <w:r>
        <w:rPr>
          <w:rFonts w:hint="eastAsia" w:ascii="宋体" w:hAnsi="宋体" w:eastAsia="宋体"/>
        </w:rPr>
        <w:fldChar w:fldCharType="separate"/>
      </w:r>
      <w:r>
        <w:rPr>
          <w:rFonts w:hint="default" w:ascii="黑体" w:hAnsi="黑体" w:eastAsia="黑体"/>
          <w:strike w:val="0"/>
        </w:rPr>
        <w:t xml:space="preserve">第六章 </w:t>
      </w:r>
      <w:r>
        <w:rPr>
          <w:rFonts w:hint="eastAsia" w:ascii="黑体" w:hAnsi="黑体" w:eastAsia="黑体"/>
        </w:rPr>
        <w:t>合同书格式（参考）</w:t>
      </w:r>
      <w:r>
        <w:tab/>
      </w:r>
      <w:r>
        <w:fldChar w:fldCharType="begin"/>
      </w:r>
      <w:r>
        <w:instrText xml:space="preserve"> PAGEREF _Toc7495 \h </w:instrText>
      </w:r>
      <w:r>
        <w:fldChar w:fldCharType="separate"/>
      </w:r>
      <w:r>
        <w:t>47</w:t>
      </w:r>
      <w:r>
        <w:fldChar w:fldCharType="end"/>
      </w:r>
      <w:r>
        <w:rPr>
          <w:rFonts w:hint="eastAsia" w:ascii="宋体" w:hAnsi="宋体" w:eastAsia="宋体"/>
          <w:color w:val="auto"/>
        </w:rPr>
        <w:fldChar w:fldCharType="end"/>
      </w:r>
    </w:p>
    <w:p>
      <w:pPr>
        <w:pStyle w:val="21"/>
        <w:tabs>
          <w:tab w:val="right" w:leader="dot" w:pos="9524"/>
        </w:tabs>
      </w:pPr>
      <w:r>
        <w:rPr>
          <w:rFonts w:hint="eastAsia" w:ascii="宋体" w:hAnsi="宋体" w:eastAsia="宋体"/>
          <w:color w:val="auto"/>
        </w:rPr>
        <w:fldChar w:fldCharType="begin"/>
      </w:r>
      <w:r>
        <w:rPr>
          <w:rFonts w:hint="eastAsia" w:ascii="宋体" w:hAnsi="宋体" w:eastAsia="宋体"/>
        </w:rPr>
        <w:instrText xml:space="preserve"> HYPERLINK \l _Toc13402 </w:instrText>
      </w:r>
      <w:r>
        <w:rPr>
          <w:rFonts w:hint="eastAsia" w:ascii="宋体" w:hAnsi="宋体" w:eastAsia="宋体"/>
        </w:rPr>
        <w:fldChar w:fldCharType="separate"/>
      </w:r>
      <w:r>
        <w:rPr>
          <w:rFonts w:hint="default" w:ascii="黑体" w:hAnsi="黑体" w:eastAsia="黑体"/>
          <w:bCs w:val="0"/>
          <w:strike w:val="0"/>
        </w:rPr>
        <w:t xml:space="preserve">第七章 </w:t>
      </w:r>
      <w:r>
        <w:rPr>
          <w:rFonts w:hint="eastAsia" w:ascii="黑体" w:hAnsi="黑体" w:eastAsia="黑体"/>
          <w:bCs w:val="0"/>
        </w:rPr>
        <w:t>投标文件格式（参考）</w:t>
      </w:r>
      <w:r>
        <w:tab/>
      </w:r>
      <w:r>
        <w:fldChar w:fldCharType="begin"/>
      </w:r>
      <w:r>
        <w:instrText xml:space="preserve"> PAGEREF _Toc13402 \h </w:instrText>
      </w:r>
      <w:r>
        <w:fldChar w:fldCharType="separate"/>
      </w:r>
      <w:r>
        <w:t>49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_Toc19438 </w:instrText>
      </w:r>
      <w:r>
        <w:rPr>
          <w:rFonts w:hint="eastAsia" w:ascii="宋体" w:hAnsi="宋体" w:eastAsia="宋体"/>
        </w:rPr>
        <w:fldChar w:fldCharType="separate"/>
      </w:r>
      <w:r>
        <w:rPr>
          <w:rFonts w:hint="eastAsia" w:ascii="宋体" w:hAnsi="宋体"/>
          <w:bCs w:val="0"/>
          <w:szCs w:val="44"/>
        </w:rPr>
        <w:t>第一部分 资格证明文件</w:t>
      </w:r>
      <w:r>
        <w:tab/>
      </w:r>
      <w:r>
        <w:fldChar w:fldCharType="begin"/>
      </w:r>
      <w:r>
        <w:instrText xml:space="preserve"> PAGEREF _Toc19438 \h </w:instrText>
      </w:r>
      <w:r>
        <w:fldChar w:fldCharType="separate"/>
      </w:r>
      <w:r>
        <w:t>49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_Toc7927 </w:instrText>
      </w:r>
      <w:r>
        <w:rPr>
          <w:rFonts w:hint="eastAsia" w:ascii="宋体" w:hAnsi="宋体" w:eastAsia="宋体"/>
        </w:rPr>
        <w:fldChar w:fldCharType="separate"/>
      </w:r>
      <w:r>
        <w:rPr>
          <w:rFonts w:hint="eastAsia" w:ascii="宋体" w:hAnsi="宋体"/>
          <w:bCs w:val="0"/>
          <w:szCs w:val="44"/>
        </w:rPr>
        <w:t>第二部分 商务文件</w:t>
      </w:r>
      <w:r>
        <w:tab/>
      </w:r>
      <w:r>
        <w:fldChar w:fldCharType="begin"/>
      </w:r>
      <w:r>
        <w:instrText xml:space="preserve"> PAGEREF _Toc7927 \h </w:instrText>
      </w:r>
      <w:r>
        <w:fldChar w:fldCharType="separate"/>
      </w:r>
      <w:r>
        <w:t>52</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_Toc2045 </w:instrText>
      </w:r>
      <w:r>
        <w:rPr>
          <w:rFonts w:hint="eastAsia" w:ascii="宋体" w:hAnsi="宋体" w:eastAsia="宋体"/>
        </w:rPr>
        <w:fldChar w:fldCharType="separate"/>
      </w:r>
      <w:r>
        <w:rPr>
          <w:rFonts w:hint="eastAsia" w:ascii="宋体" w:hAnsi="宋体"/>
          <w:bCs w:val="0"/>
          <w:szCs w:val="44"/>
        </w:rPr>
        <w:t>第三部分 技术、服务文件</w:t>
      </w:r>
      <w:r>
        <w:tab/>
      </w:r>
      <w:r>
        <w:fldChar w:fldCharType="begin"/>
      </w:r>
      <w:r>
        <w:instrText xml:space="preserve"> PAGEREF _Toc2045 \h </w:instrText>
      </w:r>
      <w:r>
        <w:fldChar w:fldCharType="separate"/>
      </w:r>
      <w:r>
        <w:t>54</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_Toc22585 </w:instrText>
      </w:r>
      <w:r>
        <w:rPr>
          <w:rFonts w:hint="eastAsia" w:ascii="宋体" w:hAnsi="宋体" w:eastAsia="宋体"/>
        </w:rPr>
        <w:fldChar w:fldCharType="separate"/>
      </w:r>
      <w:r>
        <w:rPr>
          <w:rFonts w:hint="eastAsia" w:ascii="宋体" w:hAnsi="宋体"/>
          <w:strike w:val="0"/>
        </w:rPr>
        <w:t xml:space="preserve">附件一. </w:t>
      </w:r>
      <w:r>
        <w:rPr>
          <w:rFonts w:hint="eastAsia" w:ascii="宋体" w:hAnsi="宋体"/>
        </w:rPr>
        <w:t>投标书</w:t>
      </w:r>
      <w:r>
        <w:tab/>
      </w:r>
      <w:r>
        <w:fldChar w:fldCharType="begin"/>
      </w:r>
      <w:r>
        <w:instrText xml:space="preserve"> PAGEREF _Toc22585 \h </w:instrText>
      </w:r>
      <w:r>
        <w:fldChar w:fldCharType="separate"/>
      </w:r>
      <w:r>
        <w:t>56</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_Toc28812 </w:instrText>
      </w:r>
      <w:r>
        <w:rPr>
          <w:rFonts w:hint="eastAsia" w:ascii="宋体" w:hAnsi="宋体" w:eastAsia="宋体"/>
        </w:rPr>
        <w:fldChar w:fldCharType="separate"/>
      </w:r>
      <w:r>
        <w:rPr>
          <w:rFonts w:hint="eastAsia" w:ascii="Microsoft YaHei UI" w:hAnsi="Microsoft YaHei UI" w:eastAsia="Microsoft YaHei UI" w:cs="Microsoft YaHei UI"/>
          <w:strike w:val="0"/>
          <w:spacing w:val="8"/>
        </w:rPr>
        <w:t xml:space="preserve">附件二. </w:t>
      </w:r>
      <w:r>
        <w:rPr>
          <w:rFonts w:hint="eastAsia" w:ascii="宋体" w:hAnsi="宋体" w:cs="宋体"/>
          <w:spacing w:val="8"/>
          <w:shd w:val="clear" w:color="auto" w:fill="FFFFFF"/>
        </w:rPr>
        <w:t>中小企业声明函（货物）</w:t>
      </w:r>
      <w:r>
        <w:tab/>
      </w:r>
      <w:r>
        <w:fldChar w:fldCharType="begin"/>
      </w:r>
      <w:r>
        <w:instrText xml:space="preserve"> PAGEREF _Toc28812 \h </w:instrText>
      </w:r>
      <w:r>
        <w:fldChar w:fldCharType="separate"/>
      </w:r>
      <w:r>
        <w:t>57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_Toc19376 </w:instrText>
      </w:r>
      <w:r>
        <w:rPr>
          <w:rFonts w:hint="eastAsia" w:ascii="宋体" w:hAnsi="宋体" w:eastAsia="宋体"/>
        </w:rPr>
        <w:fldChar w:fldCharType="separate"/>
      </w:r>
      <w:r>
        <w:rPr>
          <w:rFonts w:hint="eastAsia" w:ascii="Microsoft YaHei UI" w:hAnsi="Microsoft YaHei UI" w:eastAsia="Microsoft YaHei UI" w:cs="Microsoft YaHei UI"/>
          <w:bCs w:val="0"/>
          <w:strike w:val="0"/>
          <w:spacing w:val="8"/>
          <w:szCs w:val="24"/>
        </w:rPr>
        <w:t xml:space="preserve">附件三. </w:t>
      </w:r>
      <w:r>
        <w:rPr>
          <w:rFonts w:hint="eastAsia" w:ascii="宋体" w:hAnsi="宋体" w:cs="宋体"/>
          <w:bCs w:val="0"/>
          <w:spacing w:val="8"/>
          <w:shd w:val="clear" w:color="auto" w:fill="FFFFFF"/>
        </w:rPr>
        <w:t>中小企业声明函（工程、服务）</w:t>
      </w:r>
      <w:r>
        <w:tab/>
      </w:r>
      <w:r>
        <w:fldChar w:fldCharType="begin"/>
      </w:r>
      <w:r>
        <w:instrText xml:space="preserve"> PAGEREF _Toc19376 \h </w:instrText>
      </w:r>
      <w:r>
        <w:fldChar w:fldCharType="separate"/>
      </w:r>
      <w:r>
        <w:t>58</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_Toc20571 </w:instrText>
      </w:r>
      <w:r>
        <w:rPr>
          <w:rFonts w:hint="eastAsia" w:ascii="宋体" w:hAnsi="宋体" w:eastAsia="宋体"/>
        </w:rPr>
        <w:fldChar w:fldCharType="separate"/>
      </w:r>
      <w:r>
        <w:rPr>
          <w:rFonts w:hint="eastAsia" w:ascii="宋体" w:hAnsi="宋体"/>
          <w:strike w:val="0"/>
          <w:szCs w:val="30"/>
        </w:rPr>
        <w:t xml:space="preserve">附件四. </w:t>
      </w:r>
      <w:r>
        <w:rPr>
          <w:rFonts w:hint="eastAsia" w:ascii="宋体" w:hAnsi="宋体"/>
        </w:rPr>
        <w:t>残疾人福利性单位声明函</w:t>
      </w:r>
      <w:r>
        <w:tab/>
      </w:r>
      <w:r>
        <w:fldChar w:fldCharType="begin"/>
      </w:r>
      <w:r>
        <w:instrText xml:space="preserve"> PAGEREF _Toc20571 \h </w:instrText>
      </w:r>
      <w:r>
        <w:fldChar w:fldCharType="separate"/>
      </w:r>
      <w:r>
        <w:t>59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_Toc14535 </w:instrText>
      </w:r>
      <w:r>
        <w:rPr>
          <w:rFonts w:hint="eastAsia" w:ascii="宋体" w:hAnsi="宋体" w:eastAsia="宋体"/>
        </w:rPr>
        <w:fldChar w:fldCharType="separate"/>
      </w:r>
      <w:r>
        <w:rPr>
          <w:rFonts w:hint="eastAsia" w:ascii="宋体" w:hAnsi="宋体"/>
          <w:strike w:val="0"/>
        </w:rPr>
        <w:t xml:space="preserve">附件五. </w:t>
      </w:r>
      <w:r>
        <w:rPr>
          <w:rFonts w:hint="eastAsia" w:ascii="宋体" w:hAnsi="宋体"/>
        </w:rPr>
        <w:t>开标一览表</w:t>
      </w:r>
      <w:r>
        <w:tab/>
      </w:r>
      <w:r>
        <w:fldChar w:fldCharType="begin"/>
      </w:r>
      <w:r>
        <w:instrText xml:space="preserve"> PAGEREF _Toc14535 \h </w:instrText>
      </w:r>
      <w:r>
        <w:fldChar w:fldCharType="separate"/>
      </w:r>
      <w:r>
        <w:t>61</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_Toc12844 </w:instrText>
      </w:r>
      <w:r>
        <w:rPr>
          <w:rFonts w:hint="eastAsia" w:ascii="宋体" w:hAnsi="宋体" w:eastAsia="宋体"/>
        </w:rPr>
        <w:fldChar w:fldCharType="separate"/>
      </w:r>
      <w:r>
        <w:rPr>
          <w:rFonts w:hint="eastAsia" w:ascii="宋体" w:hAnsi="宋体"/>
          <w:strike w:val="0"/>
        </w:rPr>
        <w:t xml:space="preserve">附件六. </w:t>
      </w:r>
      <w:r>
        <w:tab/>
      </w:r>
      <w:r>
        <w:fldChar w:fldCharType="begin"/>
      </w:r>
      <w:r>
        <w:instrText xml:space="preserve"> PAGEREF _Toc12844 \h </w:instrText>
      </w:r>
      <w:r>
        <w:fldChar w:fldCharType="separate"/>
      </w:r>
      <w:r>
        <w:t>62</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_Toc11311 </w:instrText>
      </w:r>
      <w:r>
        <w:rPr>
          <w:rFonts w:hint="eastAsia" w:ascii="宋体" w:hAnsi="宋体" w:eastAsia="宋体"/>
        </w:rPr>
        <w:fldChar w:fldCharType="separate"/>
      </w:r>
      <w:r>
        <w:rPr>
          <w:rFonts w:hint="eastAsia" w:ascii="宋体" w:hAnsi="宋体"/>
        </w:rPr>
        <w:t>投标报价明细表</w:t>
      </w:r>
      <w:r>
        <w:tab/>
      </w:r>
      <w:r>
        <w:fldChar w:fldCharType="begin"/>
      </w:r>
      <w:r>
        <w:instrText xml:space="preserve"> PAGEREF _Toc11311 \h </w:instrText>
      </w:r>
      <w:r>
        <w:fldChar w:fldCharType="separate"/>
      </w:r>
      <w:r>
        <w:t>62</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_Toc20735 </w:instrText>
      </w:r>
      <w:r>
        <w:rPr>
          <w:rFonts w:hint="eastAsia" w:ascii="宋体" w:hAnsi="宋体" w:eastAsia="宋体"/>
        </w:rPr>
        <w:fldChar w:fldCharType="separate"/>
      </w:r>
      <w:r>
        <w:rPr>
          <w:rFonts w:hint="eastAsia" w:ascii="宋体" w:hAnsi="宋体"/>
          <w:strike w:val="0"/>
        </w:rPr>
        <w:t xml:space="preserve">附件七. </w:t>
      </w:r>
      <w:r>
        <w:rPr>
          <w:rFonts w:hint="eastAsia" w:ascii="宋体" w:hAnsi="宋体"/>
        </w:rPr>
        <w:t>小型和微型企业、监狱企业、残疾人福利性单位货物汇总表</w:t>
      </w:r>
      <w:r>
        <w:tab/>
      </w:r>
      <w:r>
        <w:fldChar w:fldCharType="begin"/>
      </w:r>
      <w:r>
        <w:instrText xml:space="preserve"> PAGEREF _Toc20735 \h </w:instrText>
      </w:r>
      <w:r>
        <w:fldChar w:fldCharType="separate"/>
      </w:r>
      <w:r>
        <w:t>63</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_Toc6582 </w:instrText>
      </w:r>
      <w:r>
        <w:rPr>
          <w:rFonts w:hint="eastAsia" w:ascii="宋体" w:hAnsi="宋体" w:eastAsia="宋体"/>
        </w:rPr>
        <w:fldChar w:fldCharType="separate"/>
      </w:r>
      <w:r>
        <w:rPr>
          <w:rFonts w:hint="eastAsia" w:ascii="宋体" w:hAnsi="宋体"/>
          <w:strike w:val="0"/>
        </w:rPr>
        <w:t xml:space="preserve">附件八. </w:t>
      </w:r>
      <w:r>
        <w:rPr>
          <w:rFonts w:hint="eastAsia" w:ascii="宋体" w:hAnsi="宋体"/>
        </w:rPr>
        <w:t>投标货物（工程或服务）清单</w:t>
      </w:r>
      <w:r>
        <w:tab/>
      </w:r>
      <w:r>
        <w:fldChar w:fldCharType="begin"/>
      </w:r>
      <w:r>
        <w:instrText xml:space="preserve"> PAGEREF _Toc6582 \h </w:instrText>
      </w:r>
      <w:r>
        <w:fldChar w:fldCharType="separate"/>
      </w:r>
      <w:r>
        <w:t>64</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_Toc2828 </w:instrText>
      </w:r>
      <w:r>
        <w:rPr>
          <w:rFonts w:hint="eastAsia" w:ascii="宋体" w:hAnsi="宋体" w:eastAsia="宋体"/>
        </w:rPr>
        <w:fldChar w:fldCharType="separate"/>
      </w:r>
      <w:r>
        <w:rPr>
          <w:rFonts w:hint="eastAsia" w:ascii="宋体" w:hAnsi="宋体"/>
          <w:strike w:val="0"/>
        </w:rPr>
        <w:t xml:space="preserve">附件九. </w:t>
      </w:r>
      <w:r>
        <w:rPr>
          <w:rFonts w:hint="eastAsia" w:ascii="宋体" w:hAnsi="宋体"/>
        </w:rPr>
        <w:t>法定代表人授权书</w:t>
      </w:r>
      <w:r>
        <w:tab/>
      </w:r>
      <w:r>
        <w:fldChar w:fldCharType="begin"/>
      </w:r>
      <w:r>
        <w:instrText xml:space="preserve"> PAGEREF _Toc2828 \h </w:instrText>
      </w:r>
      <w:r>
        <w:fldChar w:fldCharType="separate"/>
      </w:r>
      <w:r>
        <w:t>65</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_Toc16846 </w:instrText>
      </w:r>
      <w:r>
        <w:rPr>
          <w:rFonts w:hint="eastAsia" w:ascii="宋体" w:hAnsi="宋体" w:eastAsia="宋体"/>
        </w:rPr>
        <w:fldChar w:fldCharType="separate"/>
      </w:r>
      <w:r>
        <w:rPr>
          <w:rFonts w:hint="eastAsia" w:ascii="宋体" w:hAnsi="宋体"/>
          <w:strike w:val="0"/>
        </w:rPr>
        <w:t xml:space="preserve">附件十. </w:t>
      </w:r>
      <w:r>
        <w:rPr>
          <w:rFonts w:hint="eastAsia" w:ascii="宋体" w:hAnsi="宋体"/>
        </w:rPr>
        <w:t>投标人的资格声明</w:t>
      </w:r>
      <w:r>
        <w:tab/>
      </w:r>
      <w:r>
        <w:fldChar w:fldCharType="begin"/>
      </w:r>
      <w:r>
        <w:instrText xml:space="preserve"> PAGEREF _Toc16846 \h </w:instrText>
      </w:r>
      <w:r>
        <w:fldChar w:fldCharType="separate"/>
      </w:r>
      <w:r>
        <w:t>66</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_Toc30125 </w:instrText>
      </w:r>
      <w:r>
        <w:rPr>
          <w:rFonts w:hint="eastAsia" w:ascii="宋体" w:hAnsi="宋体" w:eastAsia="宋体"/>
        </w:rPr>
        <w:fldChar w:fldCharType="separate"/>
      </w:r>
      <w:r>
        <w:rPr>
          <w:rFonts w:hint="eastAsia" w:ascii="宋体" w:hAnsi="宋体"/>
          <w:strike w:val="0"/>
        </w:rPr>
        <w:t xml:space="preserve">附件十一. </w:t>
      </w:r>
      <w:r>
        <w:rPr>
          <w:rFonts w:hint="eastAsia" w:ascii="宋体" w:hAnsi="宋体"/>
        </w:rPr>
        <w:t>项目负责人、技术负责人简历表</w:t>
      </w:r>
      <w:r>
        <w:tab/>
      </w:r>
      <w:r>
        <w:fldChar w:fldCharType="begin"/>
      </w:r>
      <w:r>
        <w:instrText xml:space="preserve"> PAGEREF _Toc30125 \h </w:instrText>
      </w:r>
      <w:r>
        <w:fldChar w:fldCharType="separate"/>
      </w:r>
      <w:r>
        <w:t>67</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_Toc10317 </w:instrText>
      </w:r>
      <w:r>
        <w:rPr>
          <w:rFonts w:hint="eastAsia" w:ascii="宋体" w:hAnsi="宋体" w:eastAsia="宋体"/>
        </w:rPr>
        <w:fldChar w:fldCharType="separate"/>
      </w:r>
      <w:r>
        <w:rPr>
          <w:rFonts w:hint="eastAsia" w:ascii="宋体" w:hAnsi="宋体"/>
          <w:strike w:val="0"/>
        </w:rPr>
        <w:t xml:space="preserve">附件十二. </w:t>
      </w:r>
      <w:r>
        <w:rPr>
          <w:rFonts w:hint="eastAsia" w:ascii="宋体" w:hAnsi="宋体"/>
        </w:rPr>
        <w:t>项目班子成员情况表</w:t>
      </w:r>
      <w:r>
        <w:tab/>
      </w:r>
      <w:r>
        <w:fldChar w:fldCharType="begin"/>
      </w:r>
      <w:r>
        <w:instrText xml:space="preserve"> PAGEREF _Toc10317 \h </w:instrText>
      </w:r>
      <w:r>
        <w:fldChar w:fldCharType="separate"/>
      </w:r>
      <w:r>
        <w:t>68</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_Toc24996 </w:instrText>
      </w:r>
      <w:r>
        <w:rPr>
          <w:rFonts w:hint="eastAsia" w:ascii="宋体" w:hAnsi="宋体" w:eastAsia="宋体"/>
        </w:rPr>
        <w:fldChar w:fldCharType="separate"/>
      </w:r>
      <w:r>
        <w:rPr>
          <w:rFonts w:hint="eastAsia" w:ascii="宋体" w:hAnsi="宋体"/>
          <w:strike w:val="0"/>
        </w:rPr>
        <w:t xml:space="preserve">附件十三. </w:t>
      </w:r>
      <w:r>
        <w:rPr>
          <w:rFonts w:hint="eastAsia" w:ascii="宋体" w:hAnsi="宋体"/>
        </w:rPr>
        <w:t>投标人类似项目业绩表</w:t>
      </w:r>
      <w:r>
        <w:tab/>
      </w:r>
      <w:r>
        <w:fldChar w:fldCharType="begin"/>
      </w:r>
      <w:r>
        <w:instrText xml:space="preserve"> PAGEREF _Toc24996 \h </w:instrText>
      </w:r>
      <w:r>
        <w:fldChar w:fldCharType="separate"/>
      </w:r>
      <w:r>
        <w:t>69</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_Toc20014 </w:instrText>
      </w:r>
      <w:r>
        <w:rPr>
          <w:rFonts w:hint="eastAsia" w:ascii="宋体" w:hAnsi="宋体" w:eastAsia="宋体"/>
        </w:rPr>
        <w:fldChar w:fldCharType="separate"/>
      </w:r>
      <w:r>
        <w:rPr>
          <w:rFonts w:hint="eastAsia" w:ascii="宋体" w:hAnsi="宋体"/>
          <w:strike w:val="0"/>
        </w:rPr>
        <w:t xml:space="preserve">附件十四. </w:t>
      </w:r>
      <w:r>
        <w:rPr>
          <w:rFonts w:hint="eastAsia" w:ascii="宋体" w:hAnsi="宋体"/>
        </w:rPr>
        <w:t>符合性审查对照表</w:t>
      </w:r>
      <w:r>
        <w:tab/>
      </w:r>
      <w:r>
        <w:fldChar w:fldCharType="begin"/>
      </w:r>
      <w:r>
        <w:instrText xml:space="preserve"> PAGEREF _Toc20014 \h </w:instrText>
      </w:r>
      <w:r>
        <w:fldChar w:fldCharType="separate"/>
      </w:r>
      <w:r>
        <w:t>70</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_Toc23119 </w:instrText>
      </w:r>
      <w:r>
        <w:rPr>
          <w:rFonts w:hint="eastAsia" w:ascii="宋体" w:hAnsi="宋体" w:eastAsia="宋体"/>
        </w:rPr>
        <w:fldChar w:fldCharType="separate"/>
      </w:r>
      <w:r>
        <w:rPr>
          <w:rFonts w:hint="eastAsia" w:ascii="宋体" w:hAnsi="宋体"/>
          <w:strike w:val="0"/>
        </w:rPr>
        <w:t xml:space="preserve">附件十五. </w:t>
      </w:r>
      <w:r>
        <w:rPr>
          <w:rFonts w:hint="eastAsia" w:ascii="宋体" w:hAnsi="宋体"/>
        </w:rPr>
        <w:t>商务要求响应、偏离说明表</w:t>
      </w:r>
      <w:r>
        <w:tab/>
      </w:r>
      <w:r>
        <w:fldChar w:fldCharType="begin"/>
      </w:r>
      <w:r>
        <w:instrText xml:space="preserve"> PAGEREF _Toc23119 \h </w:instrText>
      </w:r>
      <w:r>
        <w:fldChar w:fldCharType="separate"/>
      </w:r>
      <w:r>
        <w:t>71</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_Toc11869 </w:instrText>
      </w:r>
      <w:r>
        <w:rPr>
          <w:rFonts w:hint="eastAsia" w:ascii="宋体" w:hAnsi="宋体" w:eastAsia="宋体"/>
        </w:rPr>
        <w:fldChar w:fldCharType="separate"/>
      </w:r>
      <w:r>
        <w:rPr>
          <w:rFonts w:hint="eastAsia" w:ascii="宋体" w:hAnsi="宋体"/>
          <w:strike w:val="0"/>
        </w:rPr>
        <w:t xml:space="preserve">附件十六. </w:t>
      </w:r>
      <w:r>
        <w:rPr>
          <w:rFonts w:hint="eastAsia" w:ascii="宋体" w:hAnsi="宋体"/>
        </w:rPr>
        <w:t>商务要求“★”号条款响应、偏离说明表</w:t>
      </w:r>
      <w:r>
        <w:tab/>
      </w:r>
      <w:r>
        <w:fldChar w:fldCharType="begin"/>
      </w:r>
      <w:r>
        <w:instrText xml:space="preserve"> PAGEREF _Toc11869 \h </w:instrText>
      </w:r>
      <w:r>
        <w:fldChar w:fldCharType="separate"/>
      </w:r>
      <w:r>
        <w:t>72</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_Toc16337 </w:instrText>
      </w:r>
      <w:r>
        <w:rPr>
          <w:rFonts w:hint="eastAsia" w:ascii="宋体" w:hAnsi="宋体" w:eastAsia="宋体"/>
        </w:rPr>
        <w:fldChar w:fldCharType="separate"/>
      </w:r>
      <w:r>
        <w:rPr>
          <w:rFonts w:hint="eastAsia" w:ascii="宋体" w:hAnsi="宋体"/>
          <w:strike w:val="0"/>
        </w:rPr>
        <w:t xml:space="preserve">附件十七. </w:t>
      </w:r>
      <w:r>
        <w:rPr>
          <w:rFonts w:hint="eastAsia" w:ascii="宋体" w:hAnsi="宋体"/>
        </w:rPr>
        <w:t>商务评议对照表</w:t>
      </w:r>
      <w:r>
        <w:tab/>
      </w:r>
      <w:r>
        <w:fldChar w:fldCharType="begin"/>
      </w:r>
      <w:r>
        <w:instrText xml:space="preserve"> PAGEREF _Toc16337 \h </w:instrText>
      </w:r>
      <w:r>
        <w:fldChar w:fldCharType="separate"/>
      </w:r>
      <w:r>
        <w:t>73</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_Toc15823 </w:instrText>
      </w:r>
      <w:r>
        <w:rPr>
          <w:rFonts w:hint="eastAsia" w:ascii="宋体" w:hAnsi="宋体" w:eastAsia="宋体"/>
        </w:rPr>
        <w:fldChar w:fldCharType="separate"/>
      </w:r>
      <w:r>
        <w:rPr>
          <w:rFonts w:hint="eastAsia" w:ascii="宋体" w:hAnsi="宋体"/>
          <w:strike w:val="0"/>
        </w:rPr>
        <w:t xml:space="preserve">附件十八. </w:t>
      </w:r>
      <w:r>
        <w:rPr>
          <w:rFonts w:hint="eastAsia" w:ascii="宋体" w:hAnsi="宋体"/>
        </w:rPr>
        <w:t>技术、服务要求响应、偏离说明表</w:t>
      </w:r>
      <w:r>
        <w:tab/>
      </w:r>
      <w:r>
        <w:fldChar w:fldCharType="begin"/>
      </w:r>
      <w:r>
        <w:instrText xml:space="preserve"> PAGEREF _Toc15823 \h </w:instrText>
      </w:r>
      <w:r>
        <w:fldChar w:fldCharType="separate"/>
      </w:r>
      <w:r>
        <w:t>74</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_Toc23354 </w:instrText>
      </w:r>
      <w:r>
        <w:rPr>
          <w:rFonts w:hint="eastAsia" w:ascii="宋体" w:hAnsi="宋体" w:eastAsia="宋体"/>
        </w:rPr>
        <w:fldChar w:fldCharType="separate"/>
      </w:r>
      <w:r>
        <w:rPr>
          <w:rFonts w:hint="eastAsia" w:ascii="宋体" w:hAnsi="宋体"/>
          <w:strike w:val="0"/>
        </w:rPr>
        <w:t xml:space="preserve">附件十九. </w:t>
      </w:r>
      <w:r>
        <w:rPr>
          <w:rFonts w:hint="eastAsia" w:ascii="宋体" w:hAnsi="宋体"/>
        </w:rPr>
        <w:t>技术、服务要求“★”号条款响应、偏离说明表</w:t>
      </w:r>
      <w:r>
        <w:tab/>
      </w:r>
      <w:r>
        <w:fldChar w:fldCharType="begin"/>
      </w:r>
      <w:r>
        <w:instrText xml:space="preserve"> PAGEREF _Toc23354 \h </w:instrText>
      </w:r>
      <w:r>
        <w:fldChar w:fldCharType="separate"/>
      </w:r>
      <w:r>
        <w:t>75</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_Toc29047 </w:instrText>
      </w:r>
      <w:r>
        <w:rPr>
          <w:rFonts w:hint="eastAsia" w:ascii="宋体" w:hAnsi="宋体" w:eastAsia="宋体"/>
        </w:rPr>
        <w:fldChar w:fldCharType="separate"/>
      </w:r>
      <w:r>
        <w:rPr>
          <w:rFonts w:hint="eastAsia" w:ascii="宋体" w:hAnsi="宋体"/>
          <w:strike w:val="0"/>
        </w:rPr>
        <w:t xml:space="preserve">附件二十. </w:t>
      </w:r>
      <w:r>
        <w:rPr>
          <w:rFonts w:hint="eastAsia" w:ascii="宋体" w:hAnsi="宋体"/>
        </w:rPr>
        <w:t>技术、服务评议对照表</w:t>
      </w:r>
      <w:r>
        <w:tab/>
      </w:r>
      <w:r>
        <w:fldChar w:fldCharType="begin"/>
      </w:r>
      <w:r>
        <w:instrText xml:space="preserve"> PAGEREF _Toc29047 \h </w:instrText>
      </w:r>
      <w:r>
        <w:fldChar w:fldCharType="separate"/>
      </w:r>
      <w:r>
        <w:t>76</w:t>
      </w:r>
      <w:r>
        <w:fldChar w:fldCharType="end"/>
      </w:r>
      <w:r>
        <w:rPr>
          <w:rFonts w:hint="eastAsia" w:ascii="宋体" w:hAnsi="宋体" w:eastAsia="宋体"/>
          <w:color w:val="auto"/>
        </w:rPr>
        <w:fldChar w:fldCharType="end"/>
      </w:r>
    </w:p>
    <w:p>
      <w:pPr>
        <w:pStyle w:val="24"/>
        <w:tabs>
          <w:tab w:val="right" w:leader="dot" w:pos="9524"/>
          <w:tab w:val="clear" w:pos="756"/>
          <w:tab w:val="clear" w:pos="966"/>
          <w:tab w:val="clear" w:pos="1204"/>
          <w:tab w:val="clear" w:pos="1442"/>
          <w:tab w:val="clear" w:pos="9514"/>
        </w:tabs>
      </w:pPr>
      <w:r>
        <w:rPr>
          <w:rFonts w:hint="eastAsia" w:ascii="宋体" w:hAnsi="宋体" w:eastAsia="宋体"/>
          <w:color w:val="auto"/>
        </w:rPr>
        <w:fldChar w:fldCharType="begin"/>
      </w:r>
      <w:r>
        <w:rPr>
          <w:rFonts w:hint="eastAsia" w:ascii="宋体" w:hAnsi="宋体" w:eastAsia="宋体"/>
        </w:rPr>
        <w:instrText xml:space="preserve"> HYPERLINK \l _Toc1330 </w:instrText>
      </w:r>
      <w:r>
        <w:rPr>
          <w:rFonts w:hint="eastAsia" w:ascii="宋体" w:hAnsi="宋体" w:eastAsia="宋体"/>
        </w:rPr>
        <w:fldChar w:fldCharType="separate"/>
      </w:r>
      <w:r>
        <w:rPr>
          <w:rFonts w:hint="eastAsia" w:ascii="宋体" w:hAnsi="宋体"/>
          <w:strike w:val="0"/>
        </w:rPr>
        <w:t xml:space="preserve">附件二十一. </w:t>
      </w:r>
      <w:r>
        <w:rPr>
          <w:rFonts w:hint="eastAsia" w:ascii="宋体" w:hAnsi="宋体"/>
        </w:rPr>
        <w:t>投标人信用承诺书</w:t>
      </w:r>
      <w:r>
        <w:tab/>
      </w:r>
      <w:r>
        <w:fldChar w:fldCharType="begin"/>
      </w:r>
      <w:r>
        <w:instrText xml:space="preserve"> PAGEREF _Toc1330 \h </w:instrText>
      </w:r>
      <w:r>
        <w:fldChar w:fldCharType="separate"/>
      </w:r>
      <w:r>
        <w:t>77</w:t>
      </w:r>
      <w:r>
        <w:fldChar w:fldCharType="end"/>
      </w:r>
      <w:r>
        <w:rPr>
          <w:rFonts w:hint="eastAsia" w:ascii="宋体" w:hAnsi="宋体" w:eastAsia="宋体"/>
          <w:color w:val="auto"/>
        </w:rPr>
        <w:fldChar w:fldCharType="end"/>
      </w:r>
    </w:p>
    <w:p>
      <w:pPr>
        <w:pStyle w:val="21"/>
        <w:tabs>
          <w:tab w:val="right" w:leader="dot" w:pos="9524"/>
        </w:tabs>
        <w:rPr>
          <w:color w:val="auto"/>
        </w:rPr>
      </w:pPr>
      <w:r>
        <w:rPr>
          <w:rFonts w:hint="eastAsia" w:ascii="宋体" w:hAnsi="宋体" w:eastAsia="宋体"/>
          <w:color w:val="auto"/>
        </w:rPr>
        <w:fldChar w:fldCharType="end"/>
      </w:r>
    </w:p>
    <w:p>
      <w:pPr>
        <w:rPr>
          <w:color w:val="auto"/>
        </w:rPr>
        <w:sectPr>
          <w:footerReference r:id="rId7" w:type="default"/>
          <w:pgSz w:w="11906" w:h="16838"/>
          <w:pgMar w:top="1134" w:right="1191" w:bottom="1134" w:left="1191" w:header="851" w:footer="624" w:gutter="0"/>
          <w:pgNumType w:start="1"/>
          <w:cols w:space="720" w:num="1"/>
          <w:docGrid w:type="linesAndChars" w:linePitch="312" w:charSpace="0"/>
        </w:sectPr>
      </w:pPr>
    </w:p>
    <w:p>
      <w:pPr>
        <w:rPr>
          <w:color w:val="auto"/>
        </w:rPr>
      </w:pPr>
    </w:p>
    <w:p>
      <w:pPr>
        <w:pStyle w:val="3"/>
        <w:numPr>
          <w:ilvl w:val="0"/>
          <w:numId w:val="1"/>
        </w:numPr>
        <w:spacing w:before="240" w:after="120"/>
        <w:ind w:left="883" w:hanging="880" w:hangingChars="200"/>
        <w:jc w:val="center"/>
        <w:rPr>
          <w:color w:val="auto"/>
        </w:rPr>
      </w:pPr>
      <w:bookmarkStart w:id="0" w:name="_Toc28212"/>
      <w:r>
        <w:rPr>
          <w:rFonts w:hint="eastAsia" w:ascii="黑体" w:hAnsi="黑体" w:eastAsia="黑体"/>
          <w:color w:val="auto"/>
        </w:rPr>
        <w:t>投标邀请书</w:t>
      </w:r>
      <w:bookmarkEnd w:id="0"/>
    </w:p>
    <w:p>
      <w:pPr>
        <w:spacing w:line="360" w:lineRule="auto"/>
        <w:ind w:firstLine="480" w:firstLineChars="200"/>
        <w:jc w:val="left"/>
        <w:rPr>
          <w:rFonts w:ascii="宋体" w:hAnsi="宋体" w:cs="宋体"/>
          <w:color w:val="auto"/>
          <w:sz w:val="24"/>
          <w:szCs w:val="24"/>
        </w:rPr>
      </w:pPr>
      <w:bookmarkStart w:id="1" w:name="_Toc35393630"/>
      <w:bookmarkStart w:id="2" w:name="_Toc28359090"/>
      <w:bookmarkStart w:id="3" w:name="_Toc28359013"/>
      <w:bookmarkStart w:id="4" w:name="_Toc35393799"/>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Style w:val="236"/>
          <w:rFonts w:hint="eastAsia" w:ascii="宋体" w:hAnsi="宋体" w:eastAsia="宋体" w:cs="宋体"/>
          <w:b/>
          <w:bCs/>
          <w:color w:val="000000"/>
          <w:kern w:val="0"/>
          <w:sz w:val="24"/>
          <w:szCs w:val="24"/>
          <w:u w:val="single"/>
        </w:rPr>
        <w:t>不动产登记系统和交易一体化系统安全等级保护测评整改</w:t>
      </w:r>
      <w:r>
        <w:rPr>
          <w:rFonts w:hint="eastAsia" w:ascii="宋体" w:hAnsi="宋体" w:eastAsia="宋体" w:cs="宋体"/>
          <w:b/>
          <w:bCs/>
          <w:color w:val="auto"/>
          <w:sz w:val="24"/>
          <w:szCs w:val="24"/>
        </w:rPr>
        <w:t>的潜在供应商应在</w:t>
      </w:r>
      <w:r>
        <w:rPr>
          <w:rFonts w:hint="eastAsia" w:ascii="宋体" w:hAnsi="宋体" w:eastAsia="宋体" w:cs="宋体"/>
          <w:b/>
          <w:bCs/>
          <w:color w:val="auto"/>
          <w:sz w:val="24"/>
          <w:szCs w:val="24"/>
          <w:u w:val="single"/>
        </w:rPr>
        <w:t>湖北省政府采购网</w:t>
      </w:r>
      <w:r>
        <w:rPr>
          <w:rFonts w:hint="eastAsia" w:ascii="宋体" w:hAnsi="宋体" w:eastAsia="宋体" w:cs="宋体"/>
          <w:b/>
          <w:bCs/>
          <w:color w:val="auto"/>
          <w:sz w:val="24"/>
          <w:szCs w:val="24"/>
        </w:rPr>
        <w:t>获取采购文件，并于</w:t>
      </w:r>
      <w:r>
        <w:rPr>
          <w:rFonts w:hint="eastAsia" w:ascii="宋体" w:hAnsi="宋体" w:eastAsia="宋体" w:cs="宋体"/>
          <w:b/>
          <w:bCs/>
          <w:color w:val="auto"/>
          <w:sz w:val="24"/>
          <w:szCs w:val="24"/>
          <w:u w:val="single"/>
        </w:rPr>
        <w:t>2022</w:t>
      </w:r>
      <w:r>
        <w:rPr>
          <w:rFonts w:hint="eastAsia" w:ascii="宋体" w:hAnsi="宋体" w:eastAsia="宋体" w:cs="宋体"/>
          <w:b/>
          <w:bCs/>
          <w:color w:val="auto"/>
          <w:sz w:val="24"/>
          <w:szCs w:val="24"/>
        </w:rPr>
        <w:t>年</w:t>
      </w:r>
      <w:r>
        <w:rPr>
          <w:rFonts w:hint="eastAsia" w:ascii="宋体" w:hAnsi="宋体" w:cs="宋体"/>
          <w:b/>
          <w:bCs/>
          <w:color w:val="auto"/>
          <w:sz w:val="24"/>
          <w:szCs w:val="24"/>
          <w:u w:val="single"/>
          <w:lang w:val="en-US" w:eastAsia="zh-CN"/>
        </w:rPr>
        <w:t>8</w:t>
      </w:r>
      <w:r>
        <w:rPr>
          <w:rFonts w:hint="eastAsia" w:ascii="宋体" w:hAnsi="宋体" w:eastAsia="宋体" w:cs="宋体"/>
          <w:b/>
          <w:bCs/>
          <w:color w:val="auto"/>
          <w:sz w:val="24"/>
          <w:szCs w:val="24"/>
        </w:rPr>
        <w:t>月</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rPr>
        <w:t>日</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rPr>
        <w:t>点</w:t>
      </w:r>
      <w:r>
        <w:rPr>
          <w:rFonts w:hint="eastAsia" w:ascii="宋体" w:hAnsi="宋体" w:cs="宋体"/>
          <w:b/>
          <w:bCs/>
          <w:color w:val="auto"/>
          <w:sz w:val="24"/>
          <w:szCs w:val="24"/>
          <w:lang w:val="en-US" w:eastAsia="zh-CN"/>
        </w:rPr>
        <w:t>0</w:t>
      </w:r>
      <w:r>
        <w:rPr>
          <w:rFonts w:hint="eastAsia" w:ascii="宋体" w:hAnsi="宋体" w:eastAsia="宋体" w:cs="宋体"/>
          <w:b/>
          <w:bCs/>
          <w:color w:val="auto"/>
          <w:sz w:val="24"/>
          <w:szCs w:val="24"/>
          <w:u w:val="single"/>
          <w:lang w:val="en-US" w:eastAsia="zh-CN"/>
        </w:rPr>
        <w:t>0</w:t>
      </w:r>
      <w:r>
        <w:rPr>
          <w:rFonts w:hint="eastAsia" w:ascii="宋体" w:hAnsi="宋体" w:eastAsia="宋体" w:cs="宋体"/>
          <w:b/>
          <w:bCs/>
          <w:color w:val="auto"/>
          <w:sz w:val="24"/>
          <w:szCs w:val="24"/>
        </w:rPr>
        <w:t>分</w:t>
      </w:r>
      <w:r>
        <w:rPr>
          <w:rFonts w:hint="eastAsia" w:ascii="宋体" w:hAnsi="宋体" w:eastAsia="宋体" w:cs="宋体"/>
          <w:b/>
          <w:bCs/>
          <w:color w:val="auto"/>
          <w:sz w:val="24"/>
          <w:szCs w:val="24"/>
          <w:u w:val="single"/>
        </w:rPr>
        <w:t>（北京时间）前提交响应文件。</w:t>
      </w:r>
    </w:p>
    <w:p>
      <w:pPr>
        <w:pStyle w:val="4"/>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val="0"/>
          <w:bCs w:val="0"/>
          <w:color w:val="auto"/>
          <w:sz w:val="24"/>
          <w:szCs w:val="24"/>
        </w:rPr>
      </w:pPr>
      <w:bookmarkStart w:id="5" w:name="_Toc28359089"/>
      <w:bookmarkStart w:id="6" w:name="_Toc35393798"/>
      <w:bookmarkStart w:id="7" w:name="_Toc28359012"/>
      <w:bookmarkStart w:id="8" w:name="_Toc8528"/>
      <w:bookmarkStart w:id="9" w:name="_Toc35393629"/>
      <w:r>
        <w:rPr>
          <w:rFonts w:hint="eastAsia" w:ascii="宋体" w:hAnsi="宋体" w:eastAsia="宋体" w:cs="宋体"/>
          <w:b w:val="0"/>
          <w:bCs w:val="0"/>
          <w:color w:val="auto"/>
          <w:sz w:val="24"/>
          <w:szCs w:val="24"/>
        </w:rPr>
        <w:t>一、项目基本情况</w:t>
      </w:r>
      <w:bookmarkEnd w:id="5"/>
      <w:bookmarkEnd w:id="6"/>
      <w:bookmarkEnd w:id="7"/>
      <w:bookmarkEnd w:id="8"/>
      <w:bookmarkEnd w:id="9"/>
    </w:p>
    <w:p>
      <w:pPr>
        <w:pageBreakBefore w:val="0"/>
        <w:kinsoku/>
        <w:wordWrap/>
        <w:overflowPunct/>
        <w:topLinePunct w:val="0"/>
        <w:autoSpaceDE/>
        <w:autoSpaceDN/>
        <w:bidi w:val="0"/>
        <w:adjustRightInd/>
        <w:spacing w:line="360" w:lineRule="auto"/>
        <w:ind w:right="1306" w:rightChars="622" w:firstLine="480" w:firstLineChars="20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rPr>
        <w:t>1.项目编号：潜采字</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2022</w:t>
      </w:r>
      <w:r>
        <w:rPr>
          <w:rFonts w:hint="eastAsia" w:ascii="宋体" w:hAnsi="宋体" w:cs="宋体"/>
          <w:b w:val="0"/>
          <w:bCs w:val="0"/>
          <w:color w:val="auto"/>
          <w:sz w:val="24"/>
          <w:szCs w:val="24"/>
          <w:lang w:val="en-US" w:eastAsia="zh-CN"/>
        </w:rPr>
        <w:t>-0003</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2.政府采购计划备案号:潜集采[2022]</w:t>
      </w:r>
      <w:r>
        <w:rPr>
          <w:rFonts w:hint="eastAsia" w:ascii="宋体" w:hAnsi="宋体" w:eastAsia="宋体" w:cs="宋体"/>
          <w:b w:val="0"/>
          <w:bCs w:val="0"/>
          <w:color w:val="auto"/>
          <w:sz w:val="24"/>
          <w:szCs w:val="24"/>
          <w:lang w:val="en-US" w:eastAsia="zh-CN"/>
        </w:rPr>
        <w:t>178号</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val="0"/>
          <w:bCs w:val="0"/>
          <w:color w:val="auto"/>
          <w:sz w:val="24"/>
          <w:szCs w:val="24"/>
        </w:rPr>
      </w:pPr>
      <w:bookmarkStart w:id="10" w:name="_Toc19024"/>
      <w:r>
        <w:rPr>
          <w:rFonts w:hint="eastAsia" w:ascii="宋体" w:hAnsi="宋体" w:eastAsia="宋体" w:cs="宋体"/>
          <w:b w:val="0"/>
          <w:bCs w:val="0"/>
          <w:color w:val="auto"/>
          <w:sz w:val="24"/>
          <w:szCs w:val="24"/>
          <w:lang w:eastAsia="zh-CN"/>
        </w:rPr>
        <w:t>　　</w:t>
      </w:r>
      <w:r>
        <w:rPr>
          <w:rFonts w:hint="eastAsia" w:ascii="宋体" w:hAnsi="宋体" w:eastAsia="宋体" w:cs="宋体"/>
          <w:b w:val="0"/>
          <w:bCs w:val="0"/>
          <w:color w:val="auto"/>
          <w:sz w:val="24"/>
          <w:szCs w:val="24"/>
        </w:rPr>
        <w:t>3.项目名称</w:t>
      </w:r>
      <w:bookmarkEnd w:id="10"/>
      <w:r>
        <w:rPr>
          <w:rFonts w:hint="eastAsia" w:ascii="宋体" w:hAnsi="宋体" w:eastAsia="宋体" w:cs="宋体"/>
          <w:b w:val="0"/>
          <w:bCs w:val="0"/>
          <w:color w:val="auto"/>
          <w:sz w:val="24"/>
          <w:szCs w:val="24"/>
          <w:lang w:eastAsia="zh-CN"/>
        </w:rPr>
        <w:t>：</w:t>
      </w:r>
      <w:r>
        <w:rPr>
          <w:rStyle w:val="236"/>
          <w:rFonts w:hint="eastAsia" w:ascii="宋体" w:hAnsi="宋体" w:eastAsia="宋体" w:cs="宋体"/>
          <w:b w:val="0"/>
          <w:bCs w:val="0"/>
          <w:color w:val="000000"/>
          <w:kern w:val="0"/>
          <w:sz w:val="24"/>
          <w:szCs w:val="24"/>
        </w:rPr>
        <w:t>不动产登记系统和交易一体化系统安全等级保护测评整改</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4.采购方式：公开招标</w:t>
      </w:r>
    </w:p>
    <w:p>
      <w:pPr>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5.预算金额（万元）：</w:t>
      </w:r>
      <w:r>
        <w:rPr>
          <w:rStyle w:val="236"/>
          <w:rFonts w:hint="eastAsia" w:ascii="宋体" w:hAnsi="宋体" w:eastAsia="宋体" w:cs="宋体"/>
          <w:b w:val="0"/>
          <w:bCs w:val="0"/>
          <w:kern w:val="0"/>
          <w:sz w:val="24"/>
          <w:szCs w:val="24"/>
        </w:rPr>
        <w:t>149.01</w:t>
      </w:r>
      <w:r>
        <w:rPr>
          <w:rFonts w:hint="eastAsia" w:ascii="宋体" w:hAnsi="宋体" w:eastAsia="宋体" w:cs="宋体"/>
          <w:b w:val="0"/>
          <w:bCs w:val="0"/>
          <w:color w:val="auto"/>
          <w:sz w:val="24"/>
          <w:szCs w:val="24"/>
          <w:lang w:val="en-US" w:eastAsia="zh-CN"/>
        </w:rPr>
        <w:t>万元</w:t>
      </w:r>
    </w:p>
    <w:p>
      <w:pPr>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6.最高限价（万元）：</w:t>
      </w:r>
      <w:r>
        <w:rPr>
          <w:rStyle w:val="236"/>
          <w:rFonts w:hint="eastAsia" w:ascii="宋体" w:hAnsi="宋体" w:eastAsia="宋体" w:cs="宋体"/>
          <w:b w:val="0"/>
          <w:bCs w:val="0"/>
          <w:kern w:val="0"/>
          <w:sz w:val="24"/>
          <w:szCs w:val="24"/>
        </w:rPr>
        <w:t>149.01</w:t>
      </w:r>
      <w:r>
        <w:rPr>
          <w:rFonts w:hint="eastAsia" w:ascii="宋体" w:hAnsi="宋体" w:eastAsia="宋体" w:cs="宋体"/>
          <w:b w:val="0"/>
          <w:bCs w:val="0"/>
          <w:color w:val="auto"/>
          <w:sz w:val="24"/>
          <w:szCs w:val="24"/>
          <w:lang w:val="en-US" w:eastAsia="zh-CN"/>
        </w:rPr>
        <w:t xml:space="preserve">万元 </w:t>
      </w:r>
      <w:r>
        <w:rPr>
          <w:rFonts w:hint="eastAsia" w:ascii="宋体" w:hAnsi="宋体" w:eastAsia="宋体" w:cs="宋体"/>
          <w:b w:val="0"/>
          <w:bCs w:val="0"/>
          <w:color w:val="auto"/>
          <w:kern w:val="0"/>
          <w:sz w:val="24"/>
          <w:szCs w:val="24"/>
        </w:rPr>
        <w:t xml:space="preserve"> </w:t>
      </w:r>
    </w:p>
    <w:p>
      <w:pPr>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t>7.采购需求：</w:t>
      </w:r>
      <w:r>
        <w:rPr>
          <w:rStyle w:val="236"/>
          <w:rFonts w:hint="eastAsia" w:ascii="宋体" w:hAnsi="宋体" w:eastAsia="宋体" w:cs="宋体"/>
          <w:b w:val="0"/>
          <w:bCs w:val="0"/>
          <w:color w:val="000000"/>
          <w:sz w:val="24"/>
          <w:szCs w:val="24"/>
        </w:rPr>
        <w:t>下一代防火墙、日志审计、数据库审计、终端准入系统、网络版杀毒软件、备份一体机、上网行为管理、web防火墙等设备</w:t>
      </w:r>
      <w:r>
        <w:rPr>
          <w:rStyle w:val="236"/>
          <w:rFonts w:hint="eastAsia" w:ascii="宋体" w:hAnsi="宋体" w:eastAsia="宋体" w:cs="宋体"/>
          <w:b w:val="0"/>
          <w:bCs w:val="0"/>
          <w:color w:val="000000"/>
          <w:sz w:val="24"/>
          <w:szCs w:val="24"/>
          <w:lang w:eastAsia="zh-CN"/>
        </w:rPr>
        <w:t>等</w:t>
      </w:r>
      <w:r>
        <w:rPr>
          <w:rFonts w:hint="eastAsia" w:ascii="宋体" w:hAnsi="宋体" w:eastAsia="宋体" w:cs="宋体"/>
          <w:b w:val="0"/>
          <w:bCs w:val="0"/>
          <w:sz w:val="24"/>
          <w:szCs w:val="24"/>
        </w:rPr>
        <w:t>，详见招标文件第三章。</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t>8.合同履行期限：</w:t>
      </w:r>
      <w:r>
        <w:rPr>
          <w:rStyle w:val="236"/>
          <w:rFonts w:hint="eastAsia" w:ascii="宋体" w:hAnsi="宋体" w:eastAsia="宋体" w:cs="宋体"/>
          <w:b w:val="0"/>
          <w:bCs w:val="0"/>
          <w:sz w:val="24"/>
          <w:szCs w:val="24"/>
        </w:rPr>
        <w:t>合同签订后60个日历天内</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9.本项目是否接受联合体投标：否</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10.是否可采购进口产品：否</w:t>
      </w:r>
    </w:p>
    <w:p>
      <w:pPr>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11.本项目是否专门面向中小微企业：否</w:t>
      </w:r>
    </w:p>
    <w:p>
      <w:pPr>
        <w:pStyle w:val="4"/>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val="0"/>
          <w:bCs w:val="0"/>
          <w:color w:val="auto"/>
          <w:sz w:val="24"/>
          <w:szCs w:val="24"/>
        </w:rPr>
      </w:pPr>
      <w:bookmarkStart w:id="11" w:name="_Toc8628"/>
      <w:r>
        <w:rPr>
          <w:rFonts w:hint="eastAsia" w:ascii="宋体" w:hAnsi="宋体" w:eastAsia="宋体" w:cs="宋体"/>
          <w:b w:val="0"/>
          <w:bCs w:val="0"/>
          <w:color w:val="auto"/>
          <w:sz w:val="24"/>
          <w:szCs w:val="24"/>
        </w:rPr>
        <w:t>二、申请人的资格要求</w:t>
      </w:r>
      <w:bookmarkEnd w:id="1"/>
      <w:bookmarkEnd w:id="2"/>
      <w:bookmarkEnd w:id="3"/>
      <w:bookmarkEnd w:id="4"/>
      <w:bookmarkEnd w:id="11"/>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1.满足《中华人民共和国政府采购法》第二十二条规定，即：</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（1）具有独立承担民事责任的能力；</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（2）具有良好的商业信誉和健全的财务会计制度；</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（3）具有履行合同所必需的设备和专业技术能力；</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（4）有依法缴纳税收和社会保障资金的良好记录；</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（5）参加政府采购活动前三年内，在经营活动中没有重大违法记录；</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（6）法律、行政法规规定的其他条件。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2.单位负责人为同一人或者存在直接控股、管理关系的不同投标人，不得参加本项目同一合同项下的政府采购活动。</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3.为本采购项目提供整体设计、规范编制或者项目管理、监理、检测等服务的，不得再参加本项目的其他招标采购活动。</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4.未被列入失信被执行人、重大税收违法案件当事人名单，未被列入政府采购严重违法失信行为记录名单。</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5.落实政府采购政策需满足的资格要求：</w:t>
      </w:r>
    </w:p>
    <w:p>
      <w:pPr>
        <w:pStyle w:val="20"/>
        <w:pageBreakBefore w:val="0"/>
        <w:pBdr>
          <w:bottom w:val="none" w:color="auto" w:sz="0" w:space="0"/>
        </w:pBdr>
        <w:tabs>
          <w:tab w:val="left" w:pos="675"/>
          <w:tab w:val="center" w:pos="4762"/>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（1）投标人必须是在中国境内依法注册的法人、其他组织或者自然人；其中特种行业（银行、保险、电力、电信等），可以由总公司授权分公司参加；  </w:t>
      </w:r>
    </w:p>
    <w:p>
      <w:pPr>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（2）落实政府采购强制、优先采购节能产品政策；政府采购优先采购环保产品政策；政府采购促进中小企业发展（监狱企业、残疾人福利性单位视同小微企业）等政策。</w:t>
      </w:r>
    </w:p>
    <w:p>
      <w:pPr>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本项目的特定资格要求：</w:t>
      </w:r>
      <w:r>
        <w:rPr>
          <w:rFonts w:hint="eastAsia" w:ascii="宋体" w:hAnsi="宋体" w:eastAsia="宋体" w:cs="宋体"/>
          <w:b w:val="0"/>
          <w:bCs w:val="0"/>
          <w:color w:val="auto"/>
          <w:sz w:val="24"/>
          <w:szCs w:val="24"/>
          <w:lang w:val="en-US" w:eastAsia="zh-CN"/>
        </w:rPr>
        <w:t>无</w:t>
      </w: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三、获取采购文件</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1.时间：2022年</w:t>
      </w:r>
      <w:r>
        <w:rPr>
          <w:rFonts w:hint="eastAsia" w:ascii="宋体" w:hAnsi="宋体" w:eastAsia="宋体" w:cs="宋体"/>
          <w:b w:val="0"/>
          <w:bCs w:val="0"/>
          <w:color w:val="auto"/>
          <w:sz w:val="24"/>
          <w:szCs w:val="24"/>
          <w:shd w:val="clear" w:color="auto" w:fill="FFFFFF"/>
          <w:lang w:val="en-US" w:eastAsia="zh-CN"/>
        </w:rPr>
        <w:t>7</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21</w:t>
      </w:r>
      <w:r>
        <w:rPr>
          <w:rFonts w:hint="eastAsia" w:ascii="宋体" w:hAnsi="宋体" w:eastAsia="宋体" w:cs="宋体"/>
          <w:b w:val="0"/>
          <w:bCs w:val="0"/>
          <w:color w:val="auto"/>
          <w:sz w:val="24"/>
          <w:szCs w:val="24"/>
          <w:shd w:val="clear" w:color="auto" w:fill="FFFFFF"/>
        </w:rPr>
        <w:t>日至20</w:t>
      </w:r>
      <w:r>
        <w:rPr>
          <w:rFonts w:hint="eastAsia" w:ascii="宋体" w:hAnsi="宋体" w:eastAsia="宋体" w:cs="宋体"/>
          <w:b w:val="0"/>
          <w:bCs w:val="0"/>
          <w:color w:val="auto"/>
          <w:sz w:val="24"/>
          <w:szCs w:val="24"/>
          <w:shd w:val="clear" w:color="auto" w:fill="FFFFFF"/>
          <w:lang w:val="en-US" w:eastAsia="zh-CN"/>
        </w:rPr>
        <w:t xml:space="preserve">22 </w:t>
      </w:r>
      <w:r>
        <w:rPr>
          <w:rFonts w:hint="eastAsia" w:ascii="宋体" w:hAnsi="宋体" w:eastAsia="宋体" w:cs="宋体"/>
          <w:b w:val="0"/>
          <w:bCs w:val="0"/>
          <w:color w:val="auto"/>
          <w:sz w:val="24"/>
          <w:szCs w:val="24"/>
          <w:shd w:val="clear" w:color="auto" w:fill="FFFFFF"/>
        </w:rPr>
        <w:t>年</w:t>
      </w:r>
      <w:r>
        <w:rPr>
          <w:rFonts w:hint="eastAsia" w:ascii="宋体" w:hAnsi="宋体" w:eastAsia="宋体" w:cs="宋体"/>
          <w:b w:val="0"/>
          <w:bCs w:val="0"/>
          <w:color w:val="auto"/>
          <w:sz w:val="24"/>
          <w:szCs w:val="24"/>
          <w:shd w:val="clear" w:color="auto" w:fill="FFFFFF"/>
          <w:lang w:val="en-US" w:eastAsia="zh-CN"/>
        </w:rPr>
        <w:t>7</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27</w:t>
      </w:r>
      <w:r>
        <w:rPr>
          <w:rFonts w:hint="eastAsia" w:ascii="宋体" w:hAnsi="宋体" w:eastAsia="宋体" w:cs="宋体"/>
          <w:b w:val="0"/>
          <w:bCs w:val="0"/>
          <w:color w:val="auto"/>
          <w:sz w:val="24"/>
          <w:szCs w:val="24"/>
          <w:shd w:val="clear" w:color="auto" w:fill="FFFFFF"/>
        </w:rPr>
        <w:t>日</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2.地点：湖北省政府采购网</w:t>
      </w:r>
      <w:r>
        <w:rPr>
          <w:rFonts w:hint="eastAsia" w:ascii="宋体" w:hAnsi="宋体" w:eastAsia="宋体" w:cs="宋体"/>
          <w:b w:val="0"/>
          <w:bCs w:val="0"/>
          <w:color w:val="auto"/>
          <w:sz w:val="24"/>
          <w:szCs w:val="24"/>
        </w:rPr>
        <w:t>，免费下载本公告后的附件。</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shd w:val="clear" w:color="auto" w:fill="FFFFFF"/>
        </w:rPr>
        <w:t>3.方式：</w:t>
      </w:r>
      <w:r>
        <w:rPr>
          <w:rFonts w:hint="eastAsia" w:ascii="宋体" w:hAnsi="宋体" w:eastAsia="宋体" w:cs="宋体"/>
          <w:b w:val="0"/>
          <w:bCs w:val="0"/>
          <w:i w:val="0"/>
          <w:iCs w:val="0"/>
          <w:caps w:val="0"/>
          <w:color w:val="333333"/>
          <w:spacing w:val="0"/>
          <w:sz w:val="24"/>
          <w:szCs w:val="24"/>
          <w:shd w:val="clear" w:fill="FFFFFF"/>
        </w:rPr>
        <w:t>点击本公告中的文件下载链接下载招标文件，潜在投标人应是</w:t>
      </w:r>
      <w:r>
        <w:rPr>
          <w:rFonts w:hint="eastAsia" w:ascii="宋体" w:hAnsi="宋体" w:eastAsia="宋体" w:cs="宋体"/>
          <w:b w:val="0"/>
          <w:bCs w:val="0"/>
          <w:i w:val="0"/>
          <w:iCs w:val="0"/>
          <w:caps w:val="0"/>
          <w:color w:val="333333"/>
          <w:spacing w:val="0"/>
          <w:sz w:val="24"/>
          <w:szCs w:val="24"/>
          <w:shd w:val="clear" w:fill="FFFFFF"/>
          <w:lang w:eastAsia="zh-CN"/>
        </w:rPr>
        <w:t>潜江市政府电子采购平台</w:t>
      </w:r>
      <w:r>
        <w:rPr>
          <w:rFonts w:hint="eastAsia" w:ascii="宋体" w:hAnsi="宋体" w:eastAsia="宋体" w:cs="宋体"/>
          <w:b w:val="0"/>
          <w:bCs w:val="0"/>
          <w:i w:val="0"/>
          <w:iCs w:val="0"/>
          <w:caps w:val="0"/>
          <w:color w:val="333333"/>
          <w:spacing w:val="0"/>
          <w:sz w:val="24"/>
          <w:szCs w:val="24"/>
          <w:shd w:val="clear" w:fill="FFFFFF"/>
        </w:rPr>
        <w:t>注册供应商，在获取招标文件时间内通过</w:t>
      </w:r>
      <w:r>
        <w:rPr>
          <w:rFonts w:hint="eastAsia" w:ascii="宋体" w:hAnsi="宋体" w:eastAsia="宋体" w:cs="宋体"/>
          <w:b w:val="0"/>
          <w:bCs w:val="0"/>
          <w:i w:val="0"/>
          <w:iCs w:val="0"/>
          <w:caps w:val="0"/>
          <w:color w:val="333333"/>
          <w:spacing w:val="0"/>
          <w:sz w:val="24"/>
          <w:szCs w:val="24"/>
          <w:shd w:val="clear" w:fill="FFFFFF"/>
          <w:lang w:eastAsia="zh-CN"/>
        </w:rPr>
        <w:t>潜江市政府电子采购平台</w:t>
      </w:r>
      <w:r>
        <w:rPr>
          <w:rFonts w:hint="eastAsia" w:ascii="宋体" w:hAnsi="宋体" w:eastAsia="宋体" w:cs="宋体"/>
          <w:b w:val="0"/>
          <w:bCs w:val="0"/>
          <w:i w:val="0"/>
          <w:iCs w:val="0"/>
          <w:caps w:val="0"/>
          <w:color w:val="333333"/>
          <w:spacing w:val="0"/>
          <w:sz w:val="24"/>
          <w:szCs w:val="24"/>
          <w:shd w:val="clear" w:fill="FFFFFF"/>
        </w:rPr>
        <w:t>点击项目参与(未在获取招标文件时间内点击项目参与的投标人将无法提交投标文件)。非注册供应商应办理注册手续。注册网站：https://dzcg.hubeigp.gov.cn/assets/page/registerUser/register_g.html?cloudid=194，注册咨询联系电话：0</w:t>
      </w:r>
      <w:r>
        <w:rPr>
          <w:rFonts w:hint="eastAsia" w:ascii="宋体" w:hAnsi="宋体" w:eastAsia="宋体" w:cs="宋体"/>
          <w:b w:val="0"/>
          <w:bCs w:val="0"/>
          <w:i w:val="0"/>
          <w:iCs w:val="0"/>
          <w:caps w:val="0"/>
          <w:color w:val="333333"/>
          <w:spacing w:val="0"/>
          <w:sz w:val="24"/>
          <w:szCs w:val="24"/>
          <w:shd w:val="clear" w:fill="FFFFFF"/>
          <w:lang w:val="en-US" w:eastAsia="zh-CN"/>
        </w:rPr>
        <w:t>728</w:t>
      </w:r>
      <w:r>
        <w:rPr>
          <w:rFonts w:hint="eastAsia" w:ascii="宋体" w:hAnsi="宋体" w:eastAsia="宋体" w:cs="宋体"/>
          <w:b w:val="0"/>
          <w:bCs w:val="0"/>
          <w:i w:val="0"/>
          <w:iCs w:val="0"/>
          <w:caps w:val="0"/>
          <w:color w:val="333333"/>
          <w:spacing w:val="0"/>
          <w:sz w:val="24"/>
          <w:szCs w:val="24"/>
          <w:shd w:val="clear" w:fill="FFFFFF"/>
        </w:rPr>
        <w:t>-</w:t>
      </w:r>
      <w:r>
        <w:rPr>
          <w:rFonts w:hint="eastAsia" w:ascii="宋体" w:hAnsi="宋体" w:eastAsia="宋体" w:cs="宋体"/>
          <w:b w:val="0"/>
          <w:bCs w:val="0"/>
          <w:i w:val="0"/>
          <w:iCs w:val="0"/>
          <w:caps w:val="0"/>
          <w:color w:val="333333"/>
          <w:spacing w:val="0"/>
          <w:sz w:val="24"/>
          <w:szCs w:val="24"/>
          <w:shd w:val="clear" w:fill="FFFFFF"/>
          <w:lang w:val="en-US" w:eastAsia="zh-CN"/>
        </w:rPr>
        <w:t>6238550</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4.售价（元）：0</w:t>
      </w: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四、响应文件提交</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1.开始时间：2022年</w:t>
      </w:r>
      <w:r>
        <w:rPr>
          <w:rFonts w:hint="eastAsia" w:ascii="宋体" w:hAnsi="宋体" w:eastAsia="宋体" w:cs="宋体"/>
          <w:b w:val="0"/>
          <w:bCs w:val="0"/>
          <w:color w:val="auto"/>
          <w:sz w:val="24"/>
          <w:szCs w:val="24"/>
          <w:shd w:val="clear" w:color="auto" w:fill="FFFFFF"/>
          <w:lang w:val="en-US" w:eastAsia="zh-CN"/>
        </w:rPr>
        <w:t>7</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21</w:t>
      </w:r>
      <w:r>
        <w:rPr>
          <w:rFonts w:hint="eastAsia" w:ascii="宋体" w:hAnsi="宋体" w:eastAsia="宋体" w:cs="宋体"/>
          <w:b w:val="0"/>
          <w:bCs w:val="0"/>
          <w:color w:val="auto"/>
          <w:sz w:val="24"/>
          <w:szCs w:val="24"/>
          <w:shd w:val="clear" w:color="auto" w:fill="FFFFFF"/>
        </w:rPr>
        <w:t>日</w:t>
      </w:r>
      <w:r>
        <w:rPr>
          <w:rFonts w:hint="eastAsia" w:ascii="宋体" w:hAnsi="宋体" w:eastAsia="宋体" w:cs="宋体"/>
          <w:b w:val="0"/>
          <w:bCs w:val="0"/>
          <w:color w:val="auto"/>
          <w:sz w:val="24"/>
          <w:szCs w:val="24"/>
          <w:shd w:val="clear" w:color="auto" w:fill="FFFFFF"/>
          <w:lang w:val="en-US" w:eastAsia="zh-CN"/>
        </w:rPr>
        <w:t>8</w:t>
      </w:r>
      <w:r>
        <w:rPr>
          <w:rFonts w:hint="eastAsia" w:ascii="宋体" w:hAnsi="宋体" w:eastAsia="宋体" w:cs="宋体"/>
          <w:b w:val="0"/>
          <w:bCs w:val="0"/>
          <w:color w:val="auto"/>
          <w:sz w:val="24"/>
          <w:szCs w:val="24"/>
          <w:shd w:val="clear" w:color="auto" w:fill="FFFFFF"/>
        </w:rPr>
        <w:t>点</w:t>
      </w:r>
      <w:r>
        <w:rPr>
          <w:rFonts w:hint="eastAsia" w:ascii="宋体" w:hAnsi="宋体" w:eastAsia="宋体" w:cs="宋体"/>
          <w:b w:val="0"/>
          <w:bCs w:val="0"/>
          <w:color w:val="auto"/>
          <w:sz w:val="24"/>
          <w:szCs w:val="24"/>
          <w:shd w:val="clear" w:color="auto" w:fill="FFFFFF"/>
          <w:lang w:val="en-US" w:eastAsia="zh-CN"/>
        </w:rPr>
        <w:t>30</w:t>
      </w:r>
      <w:r>
        <w:rPr>
          <w:rFonts w:hint="eastAsia" w:ascii="宋体" w:hAnsi="宋体" w:eastAsia="宋体" w:cs="宋体"/>
          <w:b w:val="0"/>
          <w:bCs w:val="0"/>
          <w:color w:val="auto"/>
          <w:sz w:val="24"/>
          <w:szCs w:val="24"/>
          <w:shd w:val="clear" w:color="auto" w:fill="FFFFFF"/>
        </w:rPr>
        <w:t>分（北京时间）</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2.截止时间：2022年</w:t>
      </w:r>
      <w:r>
        <w:rPr>
          <w:rFonts w:hint="eastAsia" w:ascii="宋体" w:hAnsi="宋体" w:cs="宋体"/>
          <w:b w:val="0"/>
          <w:bCs w:val="0"/>
          <w:color w:val="auto"/>
          <w:sz w:val="24"/>
          <w:szCs w:val="24"/>
          <w:shd w:val="clear" w:color="auto" w:fill="FFFFFF"/>
          <w:lang w:val="en-US" w:eastAsia="zh-CN"/>
        </w:rPr>
        <w:t>8</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10</w:t>
      </w:r>
      <w:r>
        <w:rPr>
          <w:rFonts w:hint="eastAsia" w:ascii="宋体" w:hAnsi="宋体" w:eastAsia="宋体" w:cs="宋体"/>
          <w:b w:val="0"/>
          <w:bCs w:val="0"/>
          <w:color w:val="auto"/>
          <w:sz w:val="24"/>
          <w:szCs w:val="24"/>
          <w:shd w:val="clear" w:color="auto" w:fill="FFFFFF"/>
        </w:rPr>
        <w:t>日</w:t>
      </w:r>
      <w:r>
        <w:rPr>
          <w:rFonts w:hint="eastAsia" w:ascii="宋体" w:hAnsi="宋体" w:cs="宋体"/>
          <w:b w:val="0"/>
          <w:bCs w:val="0"/>
          <w:color w:val="auto"/>
          <w:sz w:val="24"/>
          <w:szCs w:val="24"/>
          <w:shd w:val="clear" w:color="auto" w:fill="FFFFFF"/>
          <w:lang w:val="en-US" w:eastAsia="zh-CN"/>
        </w:rPr>
        <w:t>10</w:t>
      </w:r>
      <w:r>
        <w:rPr>
          <w:rFonts w:hint="eastAsia" w:ascii="宋体" w:hAnsi="宋体" w:eastAsia="宋体" w:cs="宋体"/>
          <w:b w:val="0"/>
          <w:bCs w:val="0"/>
          <w:color w:val="auto"/>
          <w:sz w:val="24"/>
          <w:szCs w:val="24"/>
          <w:shd w:val="clear" w:color="auto" w:fill="FFFFFF"/>
        </w:rPr>
        <w:t>点</w:t>
      </w:r>
      <w:r>
        <w:rPr>
          <w:rFonts w:hint="eastAsia" w:ascii="宋体" w:hAnsi="宋体" w:cs="宋体"/>
          <w:b w:val="0"/>
          <w:bCs w:val="0"/>
          <w:color w:val="auto"/>
          <w:sz w:val="24"/>
          <w:szCs w:val="24"/>
          <w:shd w:val="clear" w:color="auto" w:fill="FFFFFF"/>
          <w:lang w:val="en-US" w:eastAsia="zh-CN"/>
        </w:rPr>
        <w:t>0</w:t>
      </w:r>
      <w:r>
        <w:rPr>
          <w:rFonts w:hint="eastAsia" w:ascii="宋体" w:hAnsi="宋体" w:eastAsia="宋体" w:cs="宋体"/>
          <w:b w:val="0"/>
          <w:bCs w:val="0"/>
          <w:color w:val="auto"/>
          <w:sz w:val="24"/>
          <w:szCs w:val="24"/>
          <w:shd w:val="clear" w:color="auto" w:fill="FFFFFF"/>
          <w:lang w:val="en-US" w:eastAsia="zh-CN"/>
        </w:rPr>
        <w:t>0</w:t>
      </w:r>
      <w:r>
        <w:rPr>
          <w:rFonts w:hint="eastAsia" w:ascii="宋体" w:hAnsi="宋体" w:eastAsia="宋体" w:cs="宋体"/>
          <w:b w:val="0"/>
          <w:bCs w:val="0"/>
          <w:color w:val="auto"/>
          <w:sz w:val="24"/>
          <w:szCs w:val="24"/>
          <w:shd w:val="clear" w:color="auto" w:fill="FFFFFF"/>
        </w:rPr>
        <w:t>分（北京时间）</w:t>
      </w:r>
    </w:p>
    <w:p>
      <w:pPr>
        <w:pStyle w:val="20"/>
        <w:pageBreakBefore w:val="0"/>
        <w:pBdr>
          <w:bottom w:val="none" w:color="auto" w:sz="0" w:space="0"/>
        </w:pBdr>
        <w:tabs>
          <w:tab w:val="left" w:pos="675"/>
          <w:tab w:val="center" w:pos="4762"/>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3.地点：</w:t>
      </w:r>
      <w:r>
        <w:rPr>
          <w:rFonts w:hint="eastAsia" w:ascii="宋体" w:hAnsi="宋体" w:eastAsia="宋体" w:cs="宋体"/>
          <w:b w:val="0"/>
          <w:bCs w:val="0"/>
          <w:i w:val="0"/>
          <w:iCs w:val="0"/>
          <w:caps w:val="0"/>
          <w:color w:val="333333"/>
          <w:spacing w:val="0"/>
          <w:sz w:val="24"/>
          <w:szCs w:val="24"/>
          <w:shd w:val="clear" w:fill="FFFFFF"/>
          <w:lang w:val="en-US" w:eastAsia="zh-CN"/>
        </w:rPr>
        <w:t>潜江市</w:t>
      </w:r>
      <w:r>
        <w:rPr>
          <w:rFonts w:hint="eastAsia" w:ascii="宋体" w:hAnsi="宋体" w:eastAsia="宋体" w:cs="宋体"/>
          <w:b w:val="0"/>
          <w:bCs w:val="0"/>
          <w:i w:val="0"/>
          <w:iCs w:val="0"/>
          <w:caps w:val="0"/>
          <w:color w:val="333333"/>
          <w:spacing w:val="0"/>
          <w:sz w:val="24"/>
          <w:szCs w:val="24"/>
          <w:shd w:val="clear" w:fill="FFFFFF"/>
        </w:rPr>
        <w:t>政府电子采购平台（https://sso.hubeigp.gov.cn/checkLogin?sourceURL=https%3A%2F%2Fdzcg.hubeigp.gov.cn%2Flogon&amp;cloudid=194）。</w:t>
      </w: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五、开启</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1.时间：2022年</w:t>
      </w:r>
      <w:r>
        <w:rPr>
          <w:rFonts w:hint="eastAsia" w:ascii="宋体" w:hAnsi="宋体" w:cs="宋体"/>
          <w:b w:val="0"/>
          <w:bCs w:val="0"/>
          <w:color w:val="auto"/>
          <w:sz w:val="24"/>
          <w:szCs w:val="24"/>
          <w:shd w:val="clear" w:color="auto" w:fill="FFFFFF"/>
          <w:lang w:val="en-US" w:eastAsia="zh-CN"/>
        </w:rPr>
        <w:t>8</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10</w:t>
      </w:r>
      <w:r>
        <w:rPr>
          <w:rFonts w:hint="eastAsia" w:ascii="宋体" w:hAnsi="宋体" w:eastAsia="宋体" w:cs="宋体"/>
          <w:b w:val="0"/>
          <w:bCs w:val="0"/>
          <w:color w:val="auto"/>
          <w:sz w:val="24"/>
          <w:szCs w:val="24"/>
          <w:shd w:val="clear" w:color="auto" w:fill="FFFFFF"/>
        </w:rPr>
        <w:t>日</w:t>
      </w:r>
      <w:r>
        <w:rPr>
          <w:rFonts w:hint="eastAsia" w:ascii="宋体" w:hAnsi="宋体" w:cs="宋体"/>
          <w:b w:val="0"/>
          <w:bCs w:val="0"/>
          <w:color w:val="auto"/>
          <w:sz w:val="24"/>
          <w:szCs w:val="24"/>
          <w:shd w:val="clear" w:color="auto" w:fill="FFFFFF"/>
          <w:lang w:val="en-US" w:eastAsia="zh-CN"/>
        </w:rPr>
        <w:t>10</w:t>
      </w:r>
      <w:r>
        <w:rPr>
          <w:rFonts w:hint="eastAsia" w:ascii="宋体" w:hAnsi="宋体" w:eastAsia="宋体" w:cs="宋体"/>
          <w:b w:val="0"/>
          <w:bCs w:val="0"/>
          <w:color w:val="auto"/>
          <w:sz w:val="24"/>
          <w:szCs w:val="24"/>
          <w:shd w:val="clear" w:color="auto" w:fill="FFFFFF"/>
        </w:rPr>
        <w:t>点</w:t>
      </w:r>
      <w:r>
        <w:rPr>
          <w:rFonts w:hint="eastAsia" w:ascii="宋体" w:hAnsi="宋体" w:cs="宋体"/>
          <w:b w:val="0"/>
          <w:bCs w:val="0"/>
          <w:color w:val="auto"/>
          <w:sz w:val="24"/>
          <w:szCs w:val="24"/>
          <w:shd w:val="clear" w:color="auto" w:fill="FFFFFF"/>
          <w:lang w:val="en-US" w:eastAsia="zh-CN"/>
        </w:rPr>
        <w:t>0</w:t>
      </w:r>
      <w:r>
        <w:rPr>
          <w:rFonts w:hint="eastAsia" w:ascii="宋体" w:hAnsi="宋体" w:eastAsia="宋体" w:cs="宋体"/>
          <w:b w:val="0"/>
          <w:bCs w:val="0"/>
          <w:color w:val="auto"/>
          <w:sz w:val="24"/>
          <w:szCs w:val="24"/>
          <w:shd w:val="clear" w:color="auto" w:fill="FFFFFF"/>
          <w:lang w:val="en-US" w:eastAsia="zh-CN"/>
        </w:rPr>
        <w:t>0</w:t>
      </w:r>
      <w:r>
        <w:rPr>
          <w:rFonts w:hint="eastAsia" w:ascii="宋体" w:hAnsi="宋体" w:eastAsia="宋体" w:cs="宋体"/>
          <w:b w:val="0"/>
          <w:bCs w:val="0"/>
          <w:color w:val="auto"/>
          <w:sz w:val="24"/>
          <w:szCs w:val="24"/>
          <w:shd w:val="clear" w:color="auto" w:fill="FFFFFF"/>
        </w:rPr>
        <w:t xml:space="preserve">分（北京时间）  </w:t>
      </w:r>
    </w:p>
    <w:p>
      <w:pPr>
        <w:pStyle w:val="20"/>
        <w:pageBreakBefore w:val="0"/>
        <w:pBdr>
          <w:bottom w:val="none" w:color="auto" w:sz="0" w:space="0"/>
        </w:pBdr>
        <w:tabs>
          <w:tab w:val="left" w:pos="675"/>
          <w:tab w:val="center" w:pos="4762"/>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2.地点：</w:t>
      </w:r>
      <w:r>
        <w:rPr>
          <w:rFonts w:hint="eastAsia" w:ascii="宋体" w:hAnsi="宋体" w:eastAsia="宋体" w:cs="宋体"/>
          <w:b w:val="0"/>
          <w:bCs w:val="0"/>
          <w:i w:val="0"/>
          <w:iCs w:val="0"/>
          <w:caps w:val="0"/>
          <w:color w:val="333333"/>
          <w:spacing w:val="0"/>
          <w:sz w:val="24"/>
          <w:szCs w:val="24"/>
          <w:shd w:val="clear" w:fill="FFFFFF"/>
          <w:lang w:val="en-US" w:eastAsia="zh-CN"/>
        </w:rPr>
        <w:t>潜江市</w:t>
      </w:r>
      <w:r>
        <w:rPr>
          <w:rFonts w:hint="eastAsia" w:ascii="宋体" w:hAnsi="宋体" w:eastAsia="宋体" w:cs="宋体"/>
          <w:b w:val="0"/>
          <w:bCs w:val="0"/>
          <w:i w:val="0"/>
          <w:iCs w:val="0"/>
          <w:caps w:val="0"/>
          <w:color w:val="333333"/>
          <w:spacing w:val="0"/>
          <w:sz w:val="24"/>
          <w:szCs w:val="24"/>
          <w:shd w:val="clear" w:fill="FFFFFF"/>
        </w:rPr>
        <w:t>政府电子采购平</w:t>
      </w:r>
      <w:r>
        <w:rPr>
          <w:rFonts w:hint="eastAsia" w:ascii="宋体" w:hAnsi="宋体" w:eastAsia="宋体" w:cs="宋体"/>
          <w:b w:val="0"/>
          <w:bCs w:val="0"/>
          <w:i w:val="0"/>
          <w:iCs w:val="0"/>
          <w:caps w:val="0"/>
          <w:color w:val="333333"/>
          <w:spacing w:val="0"/>
          <w:sz w:val="24"/>
          <w:szCs w:val="24"/>
          <w:shd w:val="clear" w:fill="FFFFFF"/>
          <w:lang w:eastAsia="zh-CN"/>
        </w:rPr>
        <w:t>台</w:t>
      </w:r>
      <w:r>
        <w:rPr>
          <w:rFonts w:hint="eastAsia" w:ascii="宋体" w:hAnsi="宋体" w:eastAsia="宋体" w:cs="宋体"/>
          <w:b w:val="0"/>
          <w:bCs w:val="0"/>
          <w:i w:val="0"/>
          <w:iCs w:val="0"/>
          <w:caps w:val="0"/>
          <w:color w:val="333333"/>
          <w:spacing w:val="0"/>
          <w:sz w:val="24"/>
          <w:szCs w:val="24"/>
          <w:shd w:val="clear" w:fill="FFFFFF"/>
        </w:rPr>
        <w:t>（https://sso.hubeigp.gov.cn/checkLogin?sourceURL=https%3A%2F%2Fdzcg.hubeigp.gov.cn%2Flogon&amp;cloudid=194）。</w:t>
      </w: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六、公告期限</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shd w:val="clear" w:color="auto" w:fill="FFFFFF"/>
        </w:rPr>
        <w:t>自本公告发布之日起5个工作日</w:t>
      </w:r>
    </w:p>
    <w:p>
      <w:pPr>
        <w:pStyle w:val="26"/>
        <w:pageBreakBefore w:val="0"/>
        <w:widowControl/>
        <w:numPr>
          <w:ilvl w:val="0"/>
          <w:numId w:val="5"/>
        </w:numPr>
        <w:kinsoku/>
        <w:wordWrap/>
        <w:overflowPunct/>
        <w:topLinePunct w:val="0"/>
        <w:autoSpaceDE/>
        <w:autoSpaceDN/>
        <w:bidi w:val="0"/>
        <w:adjustRightInd/>
        <w:spacing w:beforeAutospacing="0" w:afterAutospacing="0" w:line="360" w:lineRule="auto"/>
        <w:ind w:left="420" w:hanging="42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其他补充事宜</w:t>
      </w: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八、凡对本次采购提出询问，请按以下方式联系</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1、采购人信息</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lang w:val="en-US" w:eastAsia="zh-CN"/>
        </w:rPr>
      </w:pPr>
      <w:r>
        <w:rPr>
          <w:rFonts w:hint="eastAsia" w:ascii="宋体" w:hAnsi="宋体" w:eastAsia="宋体" w:cs="宋体"/>
          <w:b w:val="0"/>
          <w:bCs w:val="0"/>
          <w:color w:val="auto"/>
          <w:sz w:val="24"/>
          <w:szCs w:val="24"/>
          <w:shd w:val="clear" w:color="auto" w:fill="FFFFFF"/>
        </w:rPr>
        <w:t>名称：</w:t>
      </w:r>
      <w:r>
        <w:rPr>
          <w:rStyle w:val="236"/>
          <w:rFonts w:hint="eastAsia" w:ascii="宋体" w:hAnsi="宋体" w:eastAsia="宋体" w:cs="宋体"/>
          <w:b w:val="0"/>
          <w:bCs w:val="0"/>
          <w:color w:val="000000"/>
          <w:kern w:val="0"/>
          <w:sz w:val="24"/>
          <w:szCs w:val="24"/>
          <w:lang w:val="zh-CN"/>
        </w:rPr>
        <w:t>潜江市自然资源和规划局</w:t>
      </w:r>
    </w:p>
    <w:p>
      <w:pPr>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rPr>
        <w:t>　　地址：</w:t>
      </w:r>
      <w:r>
        <w:rPr>
          <w:rStyle w:val="236"/>
          <w:rFonts w:hint="eastAsia" w:ascii="宋体" w:hAnsi="宋体" w:eastAsia="宋体" w:cs="宋体"/>
          <w:b w:val="0"/>
          <w:bCs w:val="0"/>
          <w:color w:val="000000"/>
          <w:kern w:val="0"/>
          <w:sz w:val="24"/>
          <w:szCs w:val="24"/>
        </w:rPr>
        <w:t>潜江市园林街道横堤路20号</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lang w:val="en-US" w:eastAsia="zh-CN"/>
        </w:rPr>
      </w:pPr>
      <w:r>
        <w:rPr>
          <w:rFonts w:hint="eastAsia" w:ascii="宋体" w:hAnsi="宋体" w:eastAsia="宋体" w:cs="宋体"/>
          <w:b w:val="0"/>
          <w:bCs w:val="0"/>
          <w:color w:val="auto"/>
          <w:sz w:val="24"/>
          <w:szCs w:val="24"/>
          <w:shd w:val="clear" w:color="auto" w:fill="FFFFFF"/>
        </w:rPr>
        <w:t>联系方式：</w:t>
      </w:r>
      <w:r>
        <w:rPr>
          <w:rFonts w:hint="eastAsia" w:ascii="宋体" w:hAnsi="宋体" w:eastAsia="宋体" w:cs="宋体"/>
          <w:b w:val="0"/>
          <w:bCs w:val="0"/>
          <w:color w:val="auto"/>
          <w:sz w:val="24"/>
          <w:szCs w:val="24"/>
          <w:shd w:val="clear" w:color="auto" w:fill="FFFFFF"/>
          <w:lang w:val="en-US" w:eastAsia="zh-CN"/>
        </w:rPr>
        <w:t>13507221520</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2、采购代理机构信息</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名称：潜江市政府采购中心</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地址：潜江市政府采购中心207室（潜江市章华南路34号）</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联系方式：0728-6238550</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3、项目联系方式</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auto"/>
          <w:sz w:val="24"/>
          <w:szCs w:val="24"/>
          <w:shd w:val="clear" w:color="auto" w:fill="FFFFFF"/>
        </w:rPr>
        <w:t>项目联系人：</w:t>
      </w:r>
      <w:r>
        <w:rPr>
          <w:rFonts w:hint="eastAsia" w:ascii="宋体" w:hAnsi="宋体" w:eastAsia="宋体" w:cs="宋体"/>
          <w:b w:val="0"/>
          <w:bCs w:val="0"/>
          <w:color w:val="auto"/>
          <w:sz w:val="24"/>
          <w:szCs w:val="24"/>
          <w:shd w:val="clear" w:color="auto" w:fill="FFFFFF"/>
          <w:lang w:eastAsia="zh-CN"/>
        </w:rPr>
        <w:t>徐江</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lang w:val="en-US" w:eastAsia="zh-CN"/>
        </w:rPr>
      </w:pPr>
      <w:r>
        <w:rPr>
          <w:rFonts w:hint="eastAsia" w:ascii="宋体" w:hAnsi="宋体" w:eastAsia="宋体" w:cs="宋体"/>
          <w:b w:val="0"/>
          <w:bCs w:val="0"/>
          <w:color w:val="auto"/>
          <w:sz w:val="24"/>
          <w:szCs w:val="24"/>
          <w:shd w:val="clear" w:color="auto" w:fill="FFFFFF"/>
        </w:rPr>
        <w:t>电话：</w:t>
      </w:r>
      <w:r>
        <w:rPr>
          <w:rFonts w:hint="eastAsia" w:ascii="宋体" w:hAnsi="宋体" w:eastAsia="宋体" w:cs="宋体"/>
          <w:b w:val="0"/>
          <w:bCs w:val="0"/>
          <w:color w:val="auto"/>
          <w:sz w:val="24"/>
          <w:szCs w:val="24"/>
          <w:shd w:val="clear" w:color="auto" w:fill="FFFFFF"/>
          <w:lang w:val="en-US" w:eastAsia="zh-CN"/>
        </w:rPr>
        <w:t>13507221520</w:t>
      </w: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 w:val="0"/>
          <w:bCs w:val="0"/>
          <w:color w:val="auto"/>
          <w:sz w:val="24"/>
          <w:szCs w:val="24"/>
          <w:shd w:val="clear" w:color="auto" w:fill="FFFFFF"/>
          <w:lang w:val="en-US" w:eastAsia="zh-CN"/>
        </w:rPr>
      </w:pPr>
    </w:p>
    <w:p>
      <w:pPr>
        <w:pStyle w:val="26"/>
        <w:pageBreakBefore w:val="0"/>
        <w:widowControl/>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eastAsia="宋体" w:cs="宋体"/>
          <w:bCs/>
          <w:color w:val="auto"/>
          <w:sz w:val="24"/>
          <w:szCs w:val="24"/>
          <w:shd w:val="clear" w:color="auto" w:fill="FFFFFF"/>
        </w:rPr>
      </w:pP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shd w:val="clear" w:color="auto" w:fill="FFFFFF"/>
        </w:rPr>
      </w:pP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shd w:val="clear" w:color="auto" w:fill="FFFFFF"/>
        </w:rPr>
      </w:pP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shd w:val="clear" w:color="auto" w:fill="FFFFFF"/>
        </w:rPr>
      </w:pP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shd w:val="clear" w:color="auto" w:fill="FFFFFF"/>
        </w:rPr>
      </w:pPr>
    </w:p>
    <w:p>
      <w:pPr>
        <w:pStyle w:val="26"/>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pPr>
    </w:p>
    <w:p>
      <w:pPr>
        <w:pStyle w:val="26"/>
        <w:widowControl/>
        <w:spacing w:beforeAutospacing="0" w:afterAutospacing="0" w:line="360" w:lineRule="auto"/>
        <w:rPr>
          <w:rFonts w:ascii="宋体" w:hAnsi="宋体" w:cs="宋体"/>
          <w:b/>
          <w:color w:val="auto"/>
          <w:szCs w:val="24"/>
          <w:shd w:val="clear" w:color="auto" w:fill="FFFFFF"/>
        </w:rPr>
        <w:sectPr>
          <w:footerReference r:id="rId8" w:type="default"/>
          <w:pgSz w:w="11906" w:h="16838"/>
          <w:pgMar w:top="1134" w:right="1191" w:bottom="1134" w:left="1191" w:header="851" w:footer="624" w:gutter="0"/>
          <w:pgNumType w:start="1"/>
          <w:cols w:space="720" w:num="1"/>
          <w:docGrid w:type="linesAndChars" w:linePitch="312" w:charSpace="0"/>
        </w:sectPr>
      </w:pPr>
    </w:p>
    <w:p>
      <w:pPr>
        <w:pStyle w:val="26"/>
        <w:widowControl/>
        <w:spacing w:beforeAutospacing="0" w:afterAutospacing="0" w:line="360" w:lineRule="auto"/>
        <w:rPr>
          <w:rFonts w:ascii="宋体" w:hAnsi="宋体" w:cs="宋体"/>
          <w:bCs/>
          <w:color w:val="auto"/>
          <w:szCs w:val="24"/>
          <w:shd w:val="clear" w:color="auto" w:fill="FFFFFF"/>
        </w:rPr>
      </w:pPr>
    </w:p>
    <w:p>
      <w:pPr>
        <w:pStyle w:val="26"/>
        <w:widowControl/>
        <w:spacing w:beforeAutospacing="0" w:afterAutospacing="0" w:line="360" w:lineRule="auto"/>
        <w:ind w:firstLine="480" w:firstLineChars="200"/>
        <w:rPr>
          <w:rFonts w:ascii="宋体" w:hAnsi="宋体" w:cs="宋体"/>
          <w:bCs/>
          <w:color w:val="auto"/>
          <w:szCs w:val="24"/>
          <w:shd w:val="clear" w:color="auto" w:fill="FFFFFF"/>
        </w:rPr>
      </w:pPr>
    </w:p>
    <w:p>
      <w:pPr>
        <w:pStyle w:val="3"/>
        <w:numPr>
          <w:ilvl w:val="0"/>
          <w:numId w:val="1"/>
        </w:numPr>
        <w:spacing w:before="240" w:after="120"/>
        <w:ind w:left="883" w:hanging="883" w:hangingChars="200"/>
        <w:jc w:val="center"/>
        <w:rPr>
          <w:rFonts w:ascii="黑体" w:hAnsi="黑体" w:eastAsia="黑体"/>
          <w:color w:val="auto"/>
        </w:rPr>
      </w:pPr>
      <w:bookmarkStart w:id="12" w:name="_Toc5136"/>
      <w:r>
        <w:rPr>
          <w:rFonts w:hint="eastAsia" w:ascii="黑体" w:hAnsi="黑体" w:eastAsia="黑体"/>
          <w:color w:val="auto"/>
        </w:rPr>
        <w:t>投标人须知</w:t>
      </w:r>
      <w:bookmarkEnd w:id="12"/>
    </w:p>
    <w:p>
      <w:pPr>
        <w:pStyle w:val="42"/>
        <w:rPr>
          <w:rFonts w:ascii="宋体" w:hAnsi="宋体" w:eastAsia="宋体" w:cs="宋体"/>
          <w:b/>
          <w:bCs/>
          <w:color w:val="auto"/>
          <w:kern w:val="2"/>
          <w:sz w:val="24"/>
          <w:szCs w:val="24"/>
          <w:lang w:val="zh-CN"/>
        </w:rPr>
      </w:pPr>
      <w:bookmarkStart w:id="13" w:name="_Toc24662"/>
      <w:bookmarkStart w:id="14" w:name="_Toc494561937"/>
      <w:r>
        <w:rPr>
          <w:rFonts w:hint="eastAsia" w:ascii="宋体" w:hAnsi="宋体" w:eastAsia="宋体" w:cs="宋体"/>
          <w:b/>
          <w:bCs/>
          <w:color w:val="auto"/>
          <w:kern w:val="2"/>
          <w:sz w:val="24"/>
          <w:szCs w:val="24"/>
          <w:lang w:val="zh-CN"/>
        </w:rPr>
        <w:t>投标须知前附表</w:t>
      </w:r>
      <w:bookmarkEnd w:id="13"/>
      <w:bookmarkEnd w:id="14"/>
    </w:p>
    <w:tbl>
      <w:tblPr>
        <w:tblStyle w:val="31"/>
        <w:tblW w:w="9354"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2208"/>
        <w:gridCol w:w="6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53" w:leftChars="-25" w:right="-27" w:rightChars="-13"/>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11"/>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57" w:right="57" w:firstLine="482" w:firstLineChars="201"/>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项目编号</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b w:val="0"/>
                <w:bCs w:val="0"/>
                <w:color w:val="auto"/>
                <w:sz w:val="24"/>
                <w:szCs w:val="24"/>
              </w:rPr>
              <w:t>潜采字</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2022</w:t>
            </w:r>
            <w:r>
              <w:rPr>
                <w:rFonts w:hint="eastAsia" w:ascii="宋体" w:hAnsi="宋体" w:cs="宋体"/>
                <w:b w:val="0"/>
                <w:bCs w:val="0"/>
                <w:color w:val="auto"/>
                <w:sz w:val="24"/>
                <w:szCs w:val="24"/>
                <w:lang w:val="en-US" w:eastAsia="zh-CN"/>
              </w:rPr>
              <w:t>-0003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项目名称</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Style w:val="236"/>
                <w:rFonts w:hint="eastAsia" w:ascii="宋体" w:hAnsi="宋体" w:eastAsia="宋体" w:cs="宋体"/>
                <w:b/>
                <w:bCs/>
                <w:color w:val="000000"/>
                <w:kern w:val="0"/>
                <w:sz w:val="24"/>
                <w:szCs w:val="24"/>
              </w:rPr>
              <w:t>不动产登记系统和交易一体化系统安全等级保护测评整改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项目属性</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货物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采购人</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Style w:val="236"/>
                <w:rFonts w:hint="eastAsia" w:ascii="宋体" w:hAnsi="宋体" w:eastAsia="宋体" w:cs="宋体"/>
                <w:color w:val="000000"/>
                <w:kern w:val="0"/>
                <w:sz w:val="24"/>
                <w:szCs w:val="24"/>
                <w:lang w:val="zh-CN"/>
              </w:rPr>
              <w:t>潜江市自然资源和规划局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投标保证金</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投标文件份数</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sz w:val="24"/>
                <w:szCs w:val="24"/>
              </w:rPr>
              <w:t>投标文件一份，包括：投标文件（PDF格式）；投标数据文件（Excel格式）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投标有效期</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提交投标文件截止之日起90日历日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8</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资格预审</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rPr>
              <w:t>不进行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9</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投标文件递交时间</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10</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开标时间、地点</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备选方案</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不允许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详见第三章“项目技术、服务及商务要求”要求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12</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实物样品</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13</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中标后分包</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不允许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详见第三章“项目技术、服务及商务要求”要求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14</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评标办法</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综合评分法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本项目标的所属行业</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6</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中小企业</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7</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监狱企业</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8</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质疑及提交</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向潜江市政府采购中心或采购人提出书面质疑，并附有关材料。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bookmarkStart w:id="15" w:name="_Toc494561938"/>
            <w:bookmarkStart w:id="16" w:name="_Toc8112779"/>
            <w:r>
              <w:rPr>
                <w:rFonts w:hint="eastAsia" w:ascii="宋体" w:hAnsi="宋体" w:eastAsia="宋体" w:cs="宋体"/>
                <w:color w:val="auto"/>
                <w:sz w:val="24"/>
                <w:szCs w:val="24"/>
              </w:rPr>
              <w:t>19</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履约保证金</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20</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中标服务费</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2"/>
                <w:sz w:val="24"/>
                <w:szCs w:val="24"/>
                <w:lang w:val="zh-CN" w:eastAsia="zh-CN" w:bidi="ar-SA"/>
              </w:rPr>
            </w:pPr>
            <w:r>
              <w:rPr>
                <w:rFonts w:hint="eastAsia" w:ascii="宋体" w:hAnsi="宋体" w:eastAsia="宋体" w:cs="宋体"/>
                <w:b/>
                <w:sz w:val="24"/>
                <w:szCs w:val="24"/>
              </w:rPr>
              <w:t>电子投标特别提示</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1、本项目采用网上投标，参与本项目投标人应获得</w:t>
            </w:r>
            <w:r>
              <w:rPr>
                <w:rFonts w:hint="eastAsia" w:ascii="宋体" w:hAnsi="宋体" w:eastAsia="宋体" w:cs="宋体"/>
                <w:sz w:val="24"/>
                <w:szCs w:val="24"/>
                <w:lang w:eastAsia="zh-CN"/>
              </w:rPr>
              <w:t>潜江市政府电子采购平台</w:t>
            </w:r>
            <w:r>
              <w:rPr>
                <w:rFonts w:hint="eastAsia" w:ascii="宋体" w:hAnsi="宋体" w:eastAsia="宋体" w:cs="宋体"/>
                <w:sz w:val="24"/>
                <w:szCs w:val="24"/>
              </w:rPr>
              <w:t>安全证书（CA锁）及电子签章，且安全证书（CA锁）在有效期内。</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hint="eastAsia" w:ascii="宋体" w:hAnsi="宋体" w:eastAsia="宋体" w:cs="宋体"/>
                <w:color w:val="C00000"/>
                <w:sz w:val="24"/>
                <w:szCs w:val="24"/>
              </w:rPr>
            </w:pPr>
            <w:r>
              <w:rPr>
                <w:rFonts w:hint="eastAsia" w:ascii="宋体" w:hAnsi="宋体" w:eastAsia="宋体" w:cs="宋体"/>
                <w:sz w:val="24"/>
                <w:szCs w:val="24"/>
              </w:rPr>
              <w:t>2、电子投标文件制作及递交等有关操作见《湖北省政府电子采购</w:t>
            </w:r>
            <w:r>
              <w:rPr>
                <w:rFonts w:hint="eastAsia" w:ascii="宋体" w:hAnsi="宋体" w:eastAsia="宋体" w:cs="宋体"/>
                <w:sz w:val="24"/>
                <w:szCs w:val="24"/>
                <w:lang w:val="en-US" w:eastAsia="zh-CN"/>
              </w:rPr>
              <w:t>云</w:t>
            </w:r>
            <w:r>
              <w:rPr>
                <w:rFonts w:hint="eastAsia" w:ascii="宋体" w:hAnsi="宋体" w:eastAsia="宋体" w:cs="宋体"/>
                <w:sz w:val="24"/>
                <w:szCs w:val="24"/>
              </w:rPr>
              <w:t>平台》，网址：https://dzcg.hubeigp.gov.cn/assets/special/100/hbenterpoint.html；另集中采购机构提供电子采购平台咨询服务，QQ群：463671735/966545752，</w:t>
            </w:r>
            <w:r>
              <w:rPr>
                <w:rFonts w:hint="eastAsia" w:ascii="宋体" w:hAnsi="宋体" w:eastAsia="宋体" w:cs="宋体"/>
                <w:color w:val="auto"/>
                <w:sz w:val="24"/>
                <w:szCs w:val="24"/>
              </w:rPr>
              <w:t>联系电话：</w:t>
            </w:r>
            <w:r>
              <w:rPr>
                <w:rFonts w:hint="eastAsia" w:ascii="宋体" w:hAnsi="宋体" w:eastAsia="宋体" w:cs="宋体"/>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lang w:val="en-US" w:eastAsia="zh-CN"/>
              </w:rPr>
              <w:t>728</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6238550</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3、交易平台环境要求：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①操作系统：Windows 7及以上版本；</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②浏览器：360浏览器、Internet Explorer 11、10；</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③办公软件：Microsoft Office 2007-2016完整版、WPS Office 2019个人版、WPS Office 企业版；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④PDF软件推荐： 平台自带PDF软件（软件路径：C:\Windows\winaip）。</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非以上环境可能出现错误影响其投标，登录交易平台时如提示更新插件则必须更新，否则将影响其电子投标。</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4、供应商在点击项目参与后，应测试以模拟数据填写投标数据文件，进行电子盖章，进入我的投标界面进行文件上传，以检测其电子投标机器环境是否正常，如有问题请在供应商电子采购平台咨询服务QQ群中反馈并获得技术支持。如在临近开标的48小时内发现电子投标机器环境有问题，导致技术支持无法在投标截止前解决其问题而影响电子投标的，投标人自行承担相应责任。</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5、投标人投标文件中的相关扫描件应保证清晰度，无法辨认的评审时受到影响的，由投标人自行承担相应责任</w:t>
            </w:r>
          </w:p>
          <w:p>
            <w:pPr>
              <w:keepNext w:val="0"/>
              <w:keepLines w:val="0"/>
              <w:pageBreakBefore w:val="0"/>
              <w:widowControl w:val="0"/>
              <w:kinsoku/>
              <w:wordWrap/>
              <w:overflowPunct/>
              <w:topLinePunct w:val="0"/>
              <w:autoSpaceDE/>
              <w:autoSpaceDN/>
              <w:bidi w:val="0"/>
              <w:adjustRightInd/>
              <w:snapToGrid/>
              <w:spacing w:line="360" w:lineRule="auto"/>
              <w:ind w:left="353" w:hanging="352" w:hangingChars="147"/>
              <w:textAlignment w:val="auto"/>
              <w:rPr>
                <w:rFonts w:hint="eastAsia" w:ascii="宋体" w:hAnsi="宋体" w:eastAsia="宋体" w:cs="宋体"/>
                <w:sz w:val="24"/>
                <w:szCs w:val="24"/>
              </w:rPr>
            </w:pPr>
            <w:r>
              <w:rPr>
                <w:rFonts w:hint="eastAsia" w:ascii="宋体" w:hAnsi="宋体" w:eastAsia="宋体" w:cs="宋体"/>
                <w:sz w:val="24"/>
                <w:szCs w:val="24"/>
              </w:rPr>
              <w:t>6、投标人可远程参加开标或到集中采购机构现场参加开标。现场参加开标的，应携带CA锁和笔记本电脑（操作系统：Windows 7及以上版本），以便线上进行开标操作。</w:t>
            </w:r>
          </w:p>
          <w:p>
            <w:pPr>
              <w:keepNext w:val="0"/>
              <w:keepLines w:val="0"/>
              <w:pageBreakBefore w:val="0"/>
              <w:widowControl w:val="0"/>
              <w:kinsoku/>
              <w:wordWrap/>
              <w:overflowPunct/>
              <w:topLinePunct w:val="0"/>
              <w:autoSpaceDE/>
              <w:autoSpaceDN/>
              <w:bidi w:val="0"/>
              <w:adjustRightInd/>
              <w:snapToGrid/>
              <w:spacing w:line="360" w:lineRule="auto"/>
              <w:ind w:left="353" w:hanging="352" w:hangingChars="147"/>
              <w:textAlignment w:val="auto"/>
              <w:rPr>
                <w:rFonts w:hint="eastAsia" w:ascii="宋体" w:hAnsi="宋体" w:eastAsia="宋体" w:cs="宋体"/>
                <w:b/>
                <w:sz w:val="24"/>
                <w:szCs w:val="24"/>
              </w:rPr>
            </w:pPr>
            <w:r>
              <w:rPr>
                <w:rFonts w:hint="eastAsia" w:ascii="宋体" w:hAnsi="宋体" w:eastAsia="宋体" w:cs="宋体"/>
                <w:sz w:val="24"/>
                <w:szCs w:val="24"/>
              </w:rPr>
              <w:t>7、投标人应牢记投标加密密码，该密码将用于开标时解密其电子投标文件，如忘记密码或输入错误密码超过5次，其递交的电子投标文件将无法解密，导致无法提取数据和供他人阅读文件，致使其投标失败。</w:t>
            </w:r>
          </w:p>
          <w:p>
            <w:pPr>
              <w:keepNext w:val="0"/>
              <w:keepLines w:val="0"/>
              <w:pageBreakBefore w:val="0"/>
              <w:widowControl w:val="0"/>
              <w:kinsoku/>
              <w:wordWrap/>
              <w:overflowPunct/>
              <w:topLinePunct w:val="0"/>
              <w:autoSpaceDE/>
              <w:autoSpaceDN/>
              <w:bidi w:val="0"/>
              <w:adjustRightInd/>
              <w:snapToGrid/>
              <w:spacing w:line="360" w:lineRule="auto"/>
              <w:ind w:left="360" w:leftChars="0" w:hanging="360" w:hangingChars="150"/>
              <w:textAlignment w:val="auto"/>
              <w:rPr>
                <w:rFonts w:hint="eastAsia" w:ascii="宋体" w:hAnsi="宋体" w:eastAsia="宋体" w:cs="宋体"/>
                <w:kern w:val="2"/>
                <w:sz w:val="24"/>
                <w:szCs w:val="24"/>
                <w:lang w:val="zh-CN" w:eastAsia="zh-CN" w:bidi="ar-SA"/>
              </w:rPr>
            </w:pPr>
            <w:r>
              <w:rPr>
                <w:rFonts w:hint="eastAsia" w:ascii="宋体" w:hAnsi="宋体" w:eastAsia="宋体" w:cs="宋体"/>
                <w:sz w:val="24"/>
                <w:szCs w:val="24"/>
              </w:rPr>
              <w:t>8、投标人应充分考虑到网上投标会发生的故障和风险。对发生的任何故障和风险造成投标人投标内容不一致或利益受损或投标失败的，集中采购机构和采购人不承担任何责任。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676" w:type="dxa"/>
            <w:tcBorders>
              <w:top w:val="single" w:color="auto" w:sz="4" w:space="0"/>
              <w:bottom w:val="single" w:color="auto" w:sz="4" w:space="0"/>
              <w:right w:val="single" w:color="auto" w:sz="4" w:space="0"/>
            </w:tcBorders>
            <w:vAlign w:val="center"/>
          </w:tcPr>
          <w:p>
            <w:pPr>
              <w:keepNext w:val="0"/>
              <w:keepLines w:val="0"/>
              <w:pageBreakBefore w:val="0"/>
              <w:widowControl w:val="0"/>
              <w:tabs>
                <w:tab w:val="left" w:pos="130"/>
              </w:tabs>
              <w:kinsoku/>
              <w:wordWrap/>
              <w:overflowPunct/>
              <w:topLinePunct w:val="0"/>
              <w:autoSpaceDE/>
              <w:autoSpaceDN/>
              <w:bidi w:val="0"/>
              <w:adjustRightInd/>
              <w:snapToGrid/>
              <w:spacing w:line="360" w:lineRule="auto"/>
              <w:ind w:right="57"/>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w:t>
            </w:r>
          </w:p>
        </w:tc>
        <w:tc>
          <w:tcPr>
            <w:tcW w:w="2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2"/>
                <w:sz w:val="24"/>
                <w:szCs w:val="24"/>
                <w:lang w:val="zh-CN" w:eastAsia="zh-CN" w:bidi="ar-SA"/>
              </w:rPr>
            </w:pPr>
            <w:r>
              <w:rPr>
                <w:rFonts w:hint="eastAsia" w:ascii="宋体" w:hAnsi="宋体" w:eastAsia="宋体" w:cs="宋体"/>
                <w:b/>
                <w:sz w:val="24"/>
                <w:szCs w:val="24"/>
              </w:rPr>
              <w:t>政府采购合同融资</w:t>
            </w:r>
          </w:p>
        </w:tc>
        <w:tc>
          <w:tcPr>
            <w:tcW w:w="647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zh-CN" w:eastAsia="zh-CN" w:bidi="ar-SA"/>
              </w:rPr>
            </w:pPr>
            <w:r>
              <w:rPr>
                <w:rFonts w:hint="eastAsia" w:ascii="宋体" w:hAnsi="宋体" w:eastAsia="宋体" w:cs="宋体"/>
                <w:sz w:val="24"/>
                <w:szCs w:val="24"/>
              </w:rPr>
              <w:t>政府采购合同融资（以下简称“政采贷”）：为加大金融支持实体经济发展的力度，充分发挥政府采购支持中小微企业发展的政策功能，参与政府采购活动的中小微企业，若有融资需求，在获得政府采购中标（成交）通知书后，即可登陆湖北省政府采购合同融资平台（https://czt.hubei.gov.cn/zcd/homepage）向开展“政采贷”业务的金融机构提出申请，金融机构依据政府采购中标（成交）通知书和政府采购合同，为中小微企业提供融资服务。具体要求详见鄂财采发[2020]5号文，此文件可在湖北省政府采购网、湖北省政府采购合同融资平台查询。</w:t>
            </w:r>
          </w:p>
        </w:tc>
      </w:tr>
    </w:tbl>
    <w:p>
      <w:pPr>
        <w:widowControl/>
        <w:jc w:val="left"/>
        <w:rPr>
          <w:rFonts w:cs="Times New Roman" w:asciiTheme="majorEastAsia" w:hAnsiTheme="majorEastAsia"/>
          <w:bCs/>
          <w:lang w:val="zh-CN" w:eastAsia="zh-CN"/>
        </w:rPr>
      </w:pPr>
      <w:bookmarkStart w:id="17" w:name="_Toc107589947"/>
      <w:r>
        <w:rPr>
          <w:rFonts w:cs="Times New Roman" w:asciiTheme="majorEastAsia" w:hAnsiTheme="majorEastAsia"/>
          <w:bCs/>
          <w:lang w:val="zh-CN" w:eastAsia="zh-CN"/>
        </w:rPr>
        <w:br w:type="page"/>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18" w:name="_Toc22433"/>
      <w:r>
        <w:rPr>
          <w:rFonts w:hint="eastAsia" w:ascii="宋体" w:hAnsi="宋体" w:eastAsia="宋体" w:cs="宋体"/>
          <w:bCs w:val="0"/>
          <w:lang w:val="zh-CN" w:eastAsia="zh-CN"/>
        </w:rPr>
        <w:t>说  明</w:t>
      </w:r>
      <w:bookmarkEnd w:id="18"/>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适用范围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招标文件仅适用于</w:t>
      </w:r>
      <w:r>
        <w:rPr>
          <w:rFonts w:hint="eastAsia" w:ascii="宋体" w:hAnsi="宋体" w:eastAsia="宋体" w:cs="宋体"/>
          <w:sz w:val="24"/>
          <w:szCs w:val="24"/>
          <w:lang w:val="zh-CN"/>
        </w:rPr>
        <w:t>第一章“</w:t>
      </w:r>
      <w:r>
        <w:rPr>
          <w:rFonts w:hint="eastAsia" w:ascii="宋体" w:hAnsi="宋体" w:eastAsia="宋体" w:cs="宋体"/>
          <w:sz w:val="24"/>
          <w:szCs w:val="24"/>
          <w:lang w:val="zh-CN" w:eastAsia="zh-CN"/>
        </w:rPr>
        <w:t>投标邀请书</w:t>
      </w:r>
      <w:r>
        <w:rPr>
          <w:rFonts w:hint="eastAsia" w:ascii="宋体" w:hAnsi="宋体" w:eastAsia="宋体" w:cs="宋体"/>
          <w:sz w:val="24"/>
          <w:szCs w:val="24"/>
          <w:lang w:val="zh-CN"/>
        </w:rPr>
        <w:t>”</w:t>
      </w:r>
      <w:r>
        <w:rPr>
          <w:rFonts w:hint="eastAsia" w:ascii="宋体" w:hAnsi="宋体" w:eastAsia="宋体" w:cs="宋体"/>
          <w:sz w:val="24"/>
          <w:szCs w:val="24"/>
          <w:lang w:val="zh-CN" w:eastAsia="zh-CN"/>
        </w:rPr>
        <w:t>中所述项目的货物</w:t>
      </w:r>
      <w:r>
        <w:rPr>
          <w:rFonts w:hint="eastAsia" w:ascii="宋体" w:hAnsi="宋体" w:eastAsia="宋体" w:cs="宋体"/>
          <w:sz w:val="24"/>
          <w:szCs w:val="24"/>
          <w:lang w:val="zh-CN"/>
        </w:rPr>
        <w:t>、工程</w:t>
      </w:r>
      <w:r>
        <w:rPr>
          <w:rFonts w:hint="eastAsia" w:ascii="宋体" w:hAnsi="宋体" w:eastAsia="宋体" w:cs="宋体"/>
          <w:sz w:val="24"/>
          <w:szCs w:val="24"/>
          <w:lang w:val="zh-CN" w:eastAsia="zh-CN"/>
        </w:rPr>
        <w:t>及服务的采购。</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rPr>
        <w:t>当事人</w:t>
      </w:r>
      <w:r>
        <w:rPr>
          <w:rFonts w:hint="eastAsia" w:ascii="宋体" w:hAnsi="宋体" w:eastAsia="宋体" w:cs="宋体"/>
          <w:b/>
          <w:sz w:val="24"/>
          <w:szCs w:val="24"/>
          <w:lang w:val="zh-CN" w:eastAsia="zh-CN"/>
        </w:rPr>
        <w:t>定义</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“采购人”是指：</w:t>
      </w:r>
      <w:r>
        <w:rPr>
          <w:rFonts w:hint="eastAsia" w:ascii="宋体" w:hAnsi="宋体" w:eastAsia="宋体" w:cs="宋体"/>
          <w:sz w:val="24"/>
          <w:szCs w:val="24"/>
          <w:lang w:val="zh-CN" w:eastAsia="zh-CN"/>
        </w:rPr>
        <w:t>详见第一章“投标邀请书”。</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“监管部门”是指：</w:t>
      </w:r>
      <w:r>
        <w:rPr>
          <w:rFonts w:hint="eastAsia" w:ascii="宋体" w:hAnsi="宋体" w:eastAsia="宋体" w:cs="宋体"/>
          <w:color w:val="auto"/>
          <w:sz w:val="24"/>
          <w:szCs w:val="24"/>
        </w:rPr>
        <w:t>潜江市政府采购办公室</w:t>
      </w:r>
      <w:r>
        <w:rPr>
          <w:rFonts w:hint="eastAsia" w:ascii="宋体" w:hAnsi="宋体" w:eastAsia="宋体" w:cs="宋体"/>
          <w:sz w:val="24"/>
          <w:szCs w:val="24"/>
          <w:lang w:val="zh-CN" w:eastAsia="zh-CN"/>
        </w:rPr>
        <w:t>。</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“集中采购机构”是指：</w:t>
      </w:r>
      <w:r>
        <w:rPr>
          <w:rFonts w:hint="eastAsia" w:ascii="宋体" w:hAnsi="宋体" w:eastAsia="宋体" w:cs="宋体"/>
          <w:color w:val="auto"/>
          <w:sz w:val="24"/>
          <w:szCs w:val="24"/>
        </w:rPr>
        <w:t>潜江市</w:t>
      </w:r>
      <w:r>
        <w:rPr>
          <w:rFonts w:hint="eastAsia" w:ascii="宋体" w:hAnsi="宋体" w:eastAsia="宋体" w:cs="宋体"/>
          <w:sz w:val="24"/>
          <w:szCs w:val="24"/>
          <w:lang w:val="zh-CN" w:eastAsia="zh-CN"/>
        </w:rPr>
        <w:t>政府采购中心。</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w:t>
      </w:r>
      <w:r>
        <w:rPr>
          <w:rFonts w:hint="eastAsia" w:ascii="宋体" w:hAnsi="宋体" w:eastAsia="宋体" w:cs="宋体"/>
          <w:b/>
          <w:sz w:val="24"/>
          <w:szCs w:val="24"/>
          <w:lang w:val="zh-CN"/>
        </w:rPr>
        <w:t>投标人</w:t>
      </w:r>
      <w:r>
        <w:rPr>
          <w:rFonts w:hint="eastAsia" w:ascii="宋体" w:hAnsi="宋体" w:eastAsia="宋体" w:cs="宋体"/>
          <w:b/>
          <w:sz w:val="24"/>
          <w:szCs w:val="24"/>
          <w:lang w:val="zh-CN" w:eastAsia="zh-CN"/>
        </w:rPr>
        <w:t>”是指：</w:t>
      </w:r>
      <w:r>
        <w:rPr>
          <w:rFonts w:hint="eastAsia" w:ascii="宋体" w:hAnsi="宋体" w:eastAsia="宋体" w:cs="宋体"/>
          <w:kern w:val="0"/>
          <w:sz w:val="24"/>
          <w:szCs w:val="24"/>
          <w:lang w:val="zh-CN" w:eastAsia="zh-CN"/>
        </w:rPr>
        <w:t>响应招标、参加投标竞争的法人、其他组织或者自然人。</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kern w:val="0"/>
          <w:sz w:val="24"/>
          <w:szCs w:val="24"/>
          <w:lang w:val="zh-CN" w:eastAsia="zh-CN"/>
        </w:rPr>
      </w:pPr>
      <w:r>
        <w:rPr>
          <w:rFonts w:hint="eastAsia" w:ascii="宋体" w:hAnsi="宋体" w:eastAsia="宋体" w:cs="宋体"/>
          <w:b/>
          <w:sz w:val="24"/>
          <w:szCs w:val="24"/>
          <w:lang w:val="zh-CN"/>
        </w:rPr>
        <w:t>“</w:t>
      </w:r>
      <w:r>
        <w:rPr>
          <w:rFonts w:hint="eastAsia" w:ascii="宋体" w:hAnsi="宋体" w:eastAsia="宋体" w:cs="宋体"/>
          <w:b/>
          <w:sz w:val="24"/>
          <w:szCs w:val="24"/>
          <w:lang w:val="zh-CN" w:eastAsia="zh-CN"/>
        </w:rPr>
        <w:t>合格的投标人</w:t>
      </w:r>
      <w:r>
        <w:rPr>
          <w:rFonts w:hint="eastAsia" w:ascii="宋体" w:hAnsi="宋体" w:eastAsia="宋体" w:cs="宋体"/>
          <w:b/>
          <w:sz w:val="24"/>
          <w:szCs w:val="24"/>
          <w:lang w:val="zh-CN"/>
        </w:rPr>
        <w:t>”</w:t>
      </w:r>
      <w:r>
        <w:rPr>
          <w:rFonts w:hint="eastAsia" w:ascii="宋体" w:hAnsi="宋体" w:eastAsia="宋体" w:cs="宋体"/>
          <w:b/>
          <w:sz w:val="24"/>
          <w:szCs w:val="24"/>
          <w:lang w:val="zh-CN" w:eastAsia="zh-CN"/>
        </w:rPr>
        <w:t>是指</w:t>
      </w:r>
      <w:r>
        <w:rPr>
          <w:rFonts w:hint="eastAsia" w:ascii="宋体" w:hAnsi="宋体" w:eastAsia="宋体" w:cs="宋体"/>
          <w:b/>
          <w:sz w:val="24"/>
          <w:szCs w:val="24"/>
          <w:lang w:val="zh-CN"/>
        </w:rPr>
        <w:t>：</w:t>
      </w:r>
      <w:r>
        <w:rPr>
          <w:rFonts w:hint="eastAsia" w:ascii="宋体" w:hAnsi="宋体" w:eastAsia="宋体" w:cs="宋体"/>
          <w:kern w:val="0"/>
          <w:sz w:val="24"/>
          <w:szCs w:val="24"/>
          <w:lang w:val="zh-CN" w:eastAsia="zh-CN"/>
        </w:rPr>
        <w:t>资格审查和符合性审查合格的投标人。</w:t>
      </w:r>
    </w:p>
    <w:p>
      <w:pPr>
        <w:pageBreakBefore w:val="0"/>
        <w:numPr>
          <w:ilvl w:val="0"/>
          <w:numId w:val="8"/>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“中标人”是指</w:t>
      </w:r>
      <w:r>
        <w:rPr>
          <w:rFonts w:hint="eastAsia" w:ascii="宋体" w:hAnsi="宋体" w:eastAsia="宋体" w:cs="宋体"/>
          <w:b/>
          <w:sz w:val="24"/>
          <w:szCs w:val="24"/>
          <w:lang w:val="zh-CN"/>
        </w:rPr>
        <w:t>：</w:t>
      </w:r>
      <w:r>
        <w:rPr>
          <w:rFonts w:hint="eastAsia" w:ascii="宋体" w:hAnsi="宋体" w:eastAsia="宋体" w:cs="宋体"/>
          <w:sz w:val="24"/>
          <w:szCs w:val="24"/>
          <w:lang w:val="zh-CN" w:eastAsia="zh-CN"/>
        </w:rPr>
        <w:t>经评标委员会评审，授予合同的投标人。</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rPr>
        <w:t>项目属性及定义</w:t>
      </w:r>
    </w:p>
    <w:p>
      <w:pPr>
        <w:pageBreakBefore w:val="0"/>
        <w:numPr>
          <w:ilvl w:val="0"/>
          <w:numId w:val="9"/>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“货物”是指</w:t>
      </w:r>
      <w:r>
        <w:rPr>
          <w:rFonts w:hint="eastAsia" w:ascii="宋体" w:hAnsi="宋体" w:eastAsia="宋体" w:cs="宋体"/>
          <w:sz w:val="24"/>
          <w:szCs w:val="24"/>
          <w:lang w:val="zh-CN"/>
        </w:rPr>
        <w:t>：各种形态和种类的物品，包括原材料、燃料、设备、产品</w:t>
      </w:r>
      <w:r>
        <w:rPr>
          <w:rFonts w:hint="eastAsia" w:ascii="宋体" w:hAnsi="宋体" w:eastAsia="宋体" w:cs="宋体"/>
          <w:sz w:val="24"/>
          <w:szCs w:val="24"/>
          <w:lang w:val="zh-CN" w:eastAsia="zh-CN"/>
        </w:rPr>
        <w:t>等。</w:t>
      </w:r>
    </w:p>
    <w:p>
      <w:pPr>
        <w:pageBreakBefore w:val="0"/>
        <w:numPr>
          <w:ilvl w:val="0"/>
          <w:numId w:val="10"/>
        </w:numPr>
        <w:kinsoku/>
        <w:wordWrap/>
        <w:overflowPunct/>
        <w:topLinePunct w:val="0"/>
        <w:autoSpaceDE/>
        <w:autoSpaceDN/>
        <w:bidi w:val="0"/>
        <w:adjustRightInd/>
        <w:snapToGrid/>
        <w:spacing w:line="360" w:lineRule="auto"/>
        <w:ind w:left="854" w:hanging="728"/>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招标文件中没有提及招标货物来源地的，根据《政府采购法》及相关规定均应是本国货物，另有规定的除外。</w:t>
      </w:r>
    </w:p>
    <w:p>
      <w:pPr>
        <w:pageBreakBefore w:val="0"/>
        <w:numPr>
          <w:ilvl w:val="0"/>
          <w:numId w:val="10"/>
        </w:numPr>
        <w:kinsoku/>
        <w:wordWrap/>
        <w:overflowPunct/>
        <w:topLinePunct w:val="0"/>
        <w:autoSpaceDE/>
        <w:autoSpaceDN/>
        <w:bidi w:val="0"/>
        <w:adjustRightInd/>
        <w:snapToGrid/>
        <w:spacing w:line="360" w:lineRule="auto"/>
        <w:ind w:left="854" w:hanging="728"/>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投标的货物应是合法生产的符合国家有关标准要求的货物，并能够按照合同规定的品牌、产地、质量、价格和有效期等履约。</w:t>
      </w:r>
    </w:p>
    <w:p>
      <w:pPr>
        <w:pageBreakBefore w:val="0"/>
        <w:numPr>
          <w:ilvl w:val="0"/>
          <w:numId w:val="9"/>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w:t>
      </w:r>
      <w:r>
        <w:rPr>
          <w:rFonts w:hint="eastAsia" w:ascii="宋体" w:hAnsi="宋体" w:eastAsia="宋体" w:cs="宋体"/>
          <w:b/>
          <w:sz w:val="24"/>
          <w:szCs w:val="24"/>
          <w:lang w:val="zh-CN"/>
        </w:rPr>
        <w:t>工程</w:t>
      </w:r>
      <w:r>
        <w:rPr>
          <w:rFonts w:hint="eastAsia" w:ascii="宋体" w:hAnsi="宋体" w:eastAsia="宋体" w:cs="宋体"/>
          <w:b/>
          <w:sz w:val="24"/>
          <w:szCs w:val="24"/>
          <w:lang w:val="zh-CN" w:eastAsia="zh-CN"/>
        </w:rPr>
        <w:t>”是指</w:t>
      </w:r>
      <w:r>
        <w:rPr>
          <w:rFonts w:hint="eastAsia" w:ascii="宋体" w:hAnsi="宋体" w:eastAsia="宋体" w:cs="宋体"/>
          <w:sz w:val="24"/>
          <w:szCs w:val="24"/>
          <w:lang w:val="zh-CN"/>
        </w:rPr>
        <w:t>：计算机网络系统工程。</w:t>
      </w:r>
    </w:p>
    <w:p>
      <w:pPr>
        <w:pageBreakBefore w:val="0"/>
        <w:numPr>
          <w:ilvl w:val="0"/>
          <w:numId w:val="9"/>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“服务”是指</w:t>
      </w:r>
      <w:r>
        <w:rPr>
          <w:rFonts w:hint="eastAsia" w:ascii="宋体" w:hAnsi="宋体" w:eastAsia="宋体" w:cs="宋体"/>
          <w:b/>
          <w:sz w:val="24"/>
          <w:szCs w:val="24"/>
          <w:lang w:val="zh-CN"/>
        </w:rPr>
        <w:t>：</w:t>
      </w:r>
      <w:r>
        <w:rPr>
          <w:rFonts w:hint="eastAsia" w:ascii="宋体" w:hAnsi="宋体" w:eastAsia="宋体" w:cs="宋体"/>
          <w:sz w:val="24"/>
          <w:szCs w:val="24"/>
          <w:lang w:val="zh-CN" w:eastAsia="zh-CN"/>
        </w:rPr>
        <w:t>除货物</w:t>
      </w:r>
      <w:r>
        <w:rPr>
          <w:rFonts w:hint="eastAsia" w:ascii="宋体" w:hAnsi="宋体" w:eastAsia="宋体" w:cs="宋体"/>
          <w:sz w:val="24"/>
          <w:szCs w:val="24"/>
          <w:lang w:val="zh-CN"/>
        </w:rPr>
        <w:t>和工程（含本章3.2条所述工程及《招标投标法》所定义工程）</w:t>
      </w:r>
      <w:r>
        <w:rPr>
          <w:rFonts w:hint="eastAsia" w:ascii="宋体" w:hAnsi="宋体" w:eastAsia="宋体" w:cs="宋体"/>
          <w:sz w:val="24"/>
          <w:szCs w:val="24"/>
          <w:lang w:val="zh-CN" w:eastAsia="zh-CN"/>
        </w:rPr>
        <w:t>以外的其他政府采购对象,包括政府自身需要的服务和政府向社会公众提供的公共服务。</w:t>
      </w:r>
    </w:p>
    <w:p>
      <w:pPr>
        <w:pageBreakBefore w:val="0"/>
        <w:numPr>
          <w:ilvl w:val="0"/>
          <w:numId w:val="9"/>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采购人应当按照财政部制定的《政府采购品目分类目录》确定采购项目属性</w:t>
      </w:r>
      <w:r>
        <w:rPr>
          <w:rFonts w:hint="eastAsia" w:ascii="宋体" w:hAnsi="宋体" w:eastAsia="宋体" w:cs="宋体"/>
          <w:sz w:val="24"/>
          <w:szCs w:val="24"/>
          <w:lang w:val="zh-CN"/>
        </w:rPr>
        <w:t>。</w:t>
      </w:r>
      <w:r>
        <w:rPr>
          <w:rFonts w:hint="eastAsia" w:ascii="宋体" w:hAnsi="宋体" w:eastAsia="宋体" w:cs="宋体"/>
          <w:sz w:val="24"/>
          <w:szCs w:val="24"/>
          <w:lang w:val="zh-CN" w:eastAsia="zh-CN"/>
        </w:rPr>
        <w:t>按照《政府采购品目分类目录》无法确定的，按照有利于采购项目实施的原则确定。</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投标费用</w:t>
      </w:r>
    </w:p>
    <w:p>
      <w:pPr>
        <w:pageBreakBefore w:val="0"/>
        <w:numPr>
          <w:ilvl w:val="0"/>
          <w:numId w:val="11"/>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投标人应承担所有与准备和参加投标有关的费用。不论投标的结果如何，集中采购机构和采购人均无义务和责任承担这些费用。</w:t>
      </w:r>
    </w:p>
    <w:p>
      <w:pPr>
        <w:pageBreakBefore w:val="0"/>
        <w:numPr>
          <w:ilvl w:val="0"/>
          <w:numId w:val="11"/>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根据《政府采购法》和有关规定，</w:t>
      </w:r>
      <w:r>
        <w:rPr>
          <w:rFonts w:hint="eastAsia" w:ascii="宋体" w:hAnsi="宋体" w:eastAsia="宋体" w:cs="宋体"/>
          <w:sz w:val="24"/>
          <w:szCs w:val="24"/>
          <w:lang w:val="zh-CN"/>
        </w:rPr>
        <w:t>集中采购机构</w:t>
      </w:r>
      <w:r>
        <w:rPr>
          <w:rFonts w:hint="eastAsia" w:ascii="宋体" w:hAnsi="宋体" w:eastAsia="宋体" w:cs="宋体"/>
          <w:sz w:val="24"/>
          <w:szCs w:val="24"/>
          <w:lang w:val="zh-CN" w:eastAsia="zh-CN"/>
        </w:rPr>
        <w:t>不向中标人收取中标服务费。</w:t>
      </w:r>
      <w:r>
        <w:rPr>
          <w:rFonts w:hint="eastAsia" w:ascii="宋体" w:hAnsi="宋体" w:eastAsia="宋体" w:cs="宋体"/>
          <w:sz w:val="24"/>
          <w:szCs w:val="24"/>
          <w:lang w:val="zh-CN"/>
        </w:rPr>
        <w:t xml:space="preserve"> </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19" w:name="_Toc19162"/>
      <w:r>
        <w:rPr>
          <w:rFonts w:hint="eastAsia" w:ascii="宋体" w:hAnsi="宋体" w:eastAsia="宋体" w:cs="宋体"/>
          <w:bCs w:val="0"/>
          <w:lang w:val="zh-CN" w:eastAsia="zh-CN"/>
        </w:rPr>
        <w:t>招标文件</w:t>
      </w:r>
      <w:bookmarkEnd w:id="19"/>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eastAsia="zh-CN"/>
        </w:rPr>
      </w:pPr>
      <w:r>
        <w:rPr>
          <w:rFonts w:hint="eastAsia" w:ascii="宋体" w:hAnsi="宋体" w:eastAsia="宋体" w:cs="宋体"/>
          <w:b/>
          <w:sz w:val="24"/>
          <w:szCs w:val="20"/>
          <w:lang w:val="zh-CN" w:eastAsia="zh-CN"/>
        </w:rPr>
        <w:t>招标文件的构成</w:t>
      </w:r>
    </w:p>
    <w:p>
      <w:pPr>
        <w:pageBreakBefore w:val="0"/>
        <w:tabs>
          <w:tab w:val="left" w:pos="476"/>
        </w:tabs>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各包段</w:t>
      </w:r>
      <w:r>
        <w:rPr>
          <w:rFonts w:hint="eastAsia" w:ascii="宋体" w:hAnsi="宋体" w:eastAsia="宋体" w:cs="宋体"/>
          <w:b/>
          <w:sz w:val="24"/>
          <w:szCs w:val="20"/>
          <w:lang w:val="zh-CN"/>
        </w:rPr>
        <w:t>招标文件</w:t>
      </w:r>
      <w:r>
        <w:rPr>
          <w:rFonts w:hint="eastAsia" w:ascii="宋体" w:hAnsi="宋体" w:eastAsia="宋体" w:cs="宋体"/>
          <w:sz w:val="24"/>
          <w:szCs w:val="20"/>
          <w:lang w:val="zh-CN"/>
        </w:rPr>
        <w:t>由招标文件</w:t>
      </w:r>
      <w:r>
        <w:rPr>
          <w:rFonts w:hint="eastAsia" w:ascii="宋体" w:hAnsi="宋体" w:eastAsia="宋体" w:cs="宋体"/>
          <w:sz w:val="24"/>
          <w:szCs w:val="20"/>
        </w:rPr>
        <w:t>（Word格式）和招标数据文件（Excel格式）构成。（采用电子版文件压缩包格式提供）</w:t>
      </w:r>
    </w:p>
    <w:p>
      <w:pPr>
        <w:pageBreakBefore w:val="0"/>
        <w:tabs>
          <w:tab w:val="left" w:pos="476"/>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5.1</w:t>
      </w:r>
      <w:r>
        <w:rPr>
          <w:rFonts w:hint="eastAsia" w:ascii="宋体" w:hAnsi="宋体" w:eastAsia="宋体" w:cs="宋体"/>
          <w:b/>
          <w:sz w:val="24"/>
          <w:szCs w:val="20"/>
        </w:rPr>
        <w:t>招标文件（Word格式）由下列文件组成：</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第一章 投标邀请书</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第二章 投标人须知</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第三章 项目技术、服务及商务要求</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第四章 资格审查方法及标准</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第五章 评标方法、程序及标准</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rPr>
      </w:pPr>
      <w:r>
        <w:rPr>
          <w:rFonts w:hint="eastAsia" w:ascii="宋体" w:hAnsi="宋体" w:eastAsia="宋体" w:cs="宋体"/>
          <w:sz w:val="24"/>
          <w:szCs w:val="20"/>
          <w:lang w:val="zh-CN" w:eastAsia="zh-CN"/>
        </w:rPr>
        <w:t>第六章 合同书格式</w:t>
      </w:r>
      <w:r>
        <w:rPr>
          <w:rFonts w:hint="eastAsia" w:ascii="宋体" w:hAnsi="宋体" w:eastAsia="宋体" w:cs="宋体"/>
          <w:sz w:val="24"/>
          <w:szCs w:val="20"/>
          <w:lang w:val="zh-CN"/>
        </w:rPr>
        <w:t>（参考）</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第七章 投标文件格式</w:t>
      </w:r>
      <w:r>
        <w:rPr>
          <w:rFonts w:hint="eastAsia" w:ascii="宋体" w:hAnsi="宋体" w:eastAsia="宋体" w:cs="宋体"/>
          <w:sz w:val="24"/>
          <w:szCs w:val="20"/>
          <w:lang w:val="zh-CN"/>
        </w:rPr>
        <w:t>（参考）</w:t>
      </w:r>
    </w:p>
    <w:p>
      <w:pPr>
        <w:pageBreakBefore w:val="0"/>
        <w:tabs>
          <w:tab w:val="left" w:pos="476"/>
        </w:tabs>
        <w:kinsoku/>
        <w:wordWrap/>
        <w:overflowPunct/>
        <w:topLinePunct w:val="0"/>
        <w:autoSpaceDE/>
        <w:autoSpaceDN/>
        <w:bidi w:val="0"/>
        <w:adjustRightInd/>
        <w:snapToGrid/>
        <w:spacing w:line="360" w:lineRule="auto"/>
        <w:ind w:left="476"/>
        <w:textAlignment w:val="auto"/>
        <w:rPr>
          <w:rFonts w:hint="eastAsia" w:ascii="宋体" w:hAnsi="宋体" w:eastAsia="宋体" w:cs="宋体"/>
          <w:sz w:val="24"/>
          <w:szCs w:val="20"/>
          <w:lang w:val="zh-CN"/>
        </w:rPr>
      </w:pPr>
      <w:r>
        <w:rPr>
          <w:rFonts w:hint="eastAsia" w:ascii="宋体" w:hAnsi="宋体" w:eastAsia="宋体" w:cs="宋体"/>
          <w:sz w:val="24"/>
          <w:szCs w:val="20"/>
          <w:lang w:val="zh-CN" w:eastAsia="zh-CN"/>
        </w:rPr>
        <w:t>其 他  在招标过程中由集中采购机构发出的修正和补充文件等</w:t>
      </w:r>
    </w:p>
    <w:p>
      <w:pPr>
        <w:pageBreakBefore w:val="0"/>
        <w:tabs>
          <w:tab w:val="left" w:pos="476"/>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5.2招标</w:t>
      </w:r>
      <w:r>
        <w:rPr>
          <w:rFonts w:hint="eastAsia" w:ascii="宋体" w:hAnsi="宋体" w:eastAsia="宋体" w:cs="宋体"/>
          <w:b/>
          <w:sz w:val="24"/>
          <w:szCs w:val="20"/>
        </w:rPr>
        <w:t>数据文件（Excel格式）由下列文件组成：</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第一部分  封面</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第二部分  开标一览表（含明细）</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第三部分  需求响应表（如有）</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第四部分  评审对照表</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第五部分  评分对照表（如有）</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eastAsia="zh-CN"/>
        </w:rPr>
      </w:pPr>
      <w:r>
        <w:rPr>
          <w:rFonts w:hint="eastAsia" w:ascii="宋体" w:hAnsi="宋体" w:eastAsia="宋体" w:cs="宋体"/>
          <w:b/>
          <w:sz w:val="24"/>
          <w:szCs w:val="20"/>
          <w:lang w:val="zh-CN" w:eastAsia="zh-CN"/>
        </w:rPr>
        <w:t>招标文件</w:t>
      </w:r>
      <w:r>
        <w:rPr>
          <w:rFonts w:hint="eastAsia" w:ascii="宋体" w:hAnsi="宋体" w:eastAsia="宋体" w:cs="宋体"/>
          <w:b/>
          <w:sz w:val="24"/>
          <w:szCs w:val="20"/>
          <w:lang w:val="zh-CN"/>
        </w:rPr>
        <w:t>疑问的提交</w:t>
      </w:r>
    </w:p>
    <w:p>
      <w:pPr>
        <w:pageBreakBefore w:val="0"/>
        <w:numPr>
          <w:ilvl w:val="0"/>
          <w:numId w:val="12"/>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rPr>
        <w:t>潜在投标人对招标文件有疑问的，可以向集中采购机构提出询问，在6.2规定的时间</w:t>
      </w:r>
      <w:r>
        <w:rPr>
          <w:rFonts w:hint="eastAsia" w:ascii="宋体" w:hAnsi="宋体" w:eastAsia="宋体" w:cs="宋体"/>
          <w:sz w:val="24"/>
          <w:szCs w:val="20"/>
          <w:lang w:val="zh-CN" w:eastAsia="zh-CN"/>
        </w:rPr>
        <w:t>前</w:t>
      </w:r>
      <w:r>
        <w:rPr>
          <w:rFonts w:hint="eastAsia" w:ascii="宋体" w:hAnsi="宋体" w:eastAsia="宋体" w:cs="宋体"/>
          <w:sz w:val="24"/>
          <w:szCs w:val="20"/>
          <w:lang w:val="zh-CN"/>
        </w:rPr>
        <w:t>通过集中采购机构电子采购平台向</w:t>
      </w:r>
      <w:r>
        <w:rPr>
          <w:rFonts w:hint="eastAsia" w:ascii="宋体" w:hAnsi="宋体" w:eastAsia="宋体" w:cs="宋体"/>
          <w:sz w:val="24"/>
          <w:szCs w:val="20"/>
          <w:lang w:val="zh-CN" w:eastAsia="zh-CN"/>
        </w:rPr>
        <w:t>集中采购机构</w:t>
      </w:r>
      <w:r>
        <w:rPr>
          <w:rFonts w:hint="eastAsia" w:ascii="宋体" w:hAnsi="宋体" w:eastAsia="宋体" w:cs="宋体"/>
          <w:sz w:val="24"/>
          <w:szCs w:val="20"/>
          <w:lang w:val="zh-CN"/>
        </w:rPr>
        <w:t>提交询问函</w:t>
      </w:r>
      <w:r>
        <w:rPr>
          <w:rFonts w:hint="eastAsia" w:ascii="宋体" w:hAnsi="宋体" w:eastAsia="宋体" w:cs="宋体"/>
          <w:sz w:val="24"/>
          <w:szCs w:val="20"/>
          <w:lang w:val="zh-CN" w:eastAsia="zh-CN"/>
        </w:rPr>
        <w:t>。</w:t>
      </w:r>
    </w:p>
    <w:p>
      <w:pPr>
        <w:pageBreakBefore w:val="0"/>
        <w:numPr>
          <w:ilvl w:val="0"/>
          <w:numId w:val="12"/>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潜在投标人在项目招标公告期限届满之日起7个工作日内未对招标文件提出疑问的，集中采购机构将视其认同招标文件，在规定的时间后就招标文件内容提出的询问将不予受理。</w:t>
      </w:r>
    </w:p>
    <w:p>
      <w:pPr>
        <w:pageBreakBefore w:val="0"/>
        <w:numPr>
          <w:ilvl w:val="0"/>
          <w:numId w:val="12"/>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集中采购机构将组织采购人对潜在投标人所提交的疑问通过电子采购平台（或网上公告）的形式予以答复。必要时，集中采购机构将组织相关专家召开答疑会，并将会议内容通过电子采购平台（或网上公告）通知在电子采购平台针对本项目点击项目参与的每个潜在投标人（答复中不包括问题的来源）。</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eastAsia="zh-CN"/>
        </w:rPr>
      </w:pPr>
      <w:r>
        <w:rPr>
          <w:rFonts w:hint="eastAsia" w:ascii="宋体" w:hAnsi="宋体" w:eastAsia="宋体" w:cs="宋体"/>
          <w:b/>
          <w:sz w:val="24"/>
          <w:szCs w:val="20"/>
          <w:lang w:val="zh-CN" w:eastAsia="zh-CN"/>
        </w:rPr>
        <w:t>招标文件的</w:t>
      </w:r>
      <w:r>
        <w:rPr>
          <w:rFonts w:hint="eastAsia" w:ascii="宋体" w:hAnsi="宋体" w:eastAsia="宋体" w:cs="宋体"/>
          <w:b/>
          <w:sz w:val="24"/>
          <w:szCs w:val="20"/>
          <w:lang w:val="zh-CN"/>
        </w:rPr>
        <w:t>澄清、</w:t>
      </w:r>
      <w:r>
        <w:rPr>
          <w:rFonts w:hint="eastAsia" w:ascii="宋体" w:hAnsi="宋体" w:eastAsia="宋体" w:cs="宋体"/>
          <w:b/>
          <w:sz w:val="24"/>
          <w:szCs w:val="20"/>
          <w:lang w:val="zh-CN" w:eastAsia="zh-CN"/>
        </w:rPr>
        <w:t>修改</w:t>
      </w:r>
    </w:p>
    <w:p>
      <w:pPr>
        <w:pageBreakBefore w:val="0"/>
        <w:numPr>
          <w:ilvl w:val="0"/>
          <w:numId w:val="13"/>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kern w:val="0"/>
          <w:sz w:val="24"/>
          <w:szCs w:val="24"/>
          <w:lang w:val="zh-CN" w:eastAsia="zh-CN"/>
        </w:rPr>
      </w:pPr>
      <w:r>
        <w:rPr>
          <w:rFonts w:hint="eastAsia" w:ascii="宋体" w:hAnsi="宋体" w:eastAsia="宋体" w:cs="宋体"/>
          <w:sz w:val="24"/>
          <w:szCs w:val="20"/>
          <w:lang w:val="zh-CN" w:eastAsia="zh-CN"/>
        </w:rPr>
        <w:t>集中采购机构和采购人可以对已发出的招标文件进行必要的澄清或者修改</w:t>
      </w:r>
      <w:r>
        <w:rPr>
          <w:rFonts w:hint="eastAsia" w:ascii="宋体" w:hAnsi="宋体" w:eastAsia="宋体" w:cs="宋体"/>
          <w:sz w:val="24"/>
          <w:szCs w:val="20"/>
          <w:lang w:val="zh-CN"/>
        </w:rPr>
        <w:t>，</w:t>
      </w:r>
      <w:r>
        <w:rPr>
          <w:rFonts w:hint="eastAsia" w:ascii="宋体" w:hAnsi="宋体" w:eastAsia="宋体" w:cs="宋体"/>
          <w:kern w:val="0"/>
          <w:sz w:val="24"/>
          <w:szCs w:val="24"/>
          <w:lang w:val="zh-CN" w:eastAsia="zh-CN"/>
        </w:rPr>
        <w:t>但不得改变采购标的和资格条件</w:t>
      </w:r>
      <w:r>
        <w:rPr>
          <w:rFonts w:hint="eastAsia" w:ascii="宋体" w:hAnsi="宋体" w:eastAsia="宋体" w:cs="宋体"/>
          <w:sz w:val="24"/>
          <w:szCs w:val="20"/>
          <w:lang w:val="zh-CN" w:eastAsia="zh-CN"/>
        </w:rPr>
        <w:t>。</w:t>
      </w:r>
      <w:r>
        <w:rPr>
          <w:rFonts w:hint="eastAsia" w:ascii="宋体" w:hAnsi="宋体" w:eastAsia="宋体" w:cs="宋体"/>
          <w:kern w:val="0"/>
          <w:sz w:val="24"/>
          <w:szCs w:val="24"/>
          <w:lang w:val="zh-CN" w:eastAsia="zh-CN"/>
        </w:rPr>
        <w:t>澄清或者修改</w:t>
      </w:r>
      <w:r>
        <w:rPr>
          <w:rFonts w:hint="eastAsia" w:ascii="宋体" w:hAnsi="宋体" w:eastAsia="宋体" w:cs="宋体"/>
          <w:kern w:val="0"/>
          <w:sz w:val="24"/>
          <w:szCs w:val="24"/>
          <w:lang w:val="zh-CN"/>
        </w:rPr>
        <w:t>将</w:t>
      </w:r>
      <w:r>
        <w:rPr>
          <w:rFonts w:hint="eastAsia" w:ascii="宋体" w:hAnsi="宋体" w:eastAsia="宋体" w:cs="宋体"/>
          <w:kern w:val="0"/>
          <w:sz w:val="24"/>
          <w:szCs w:val="24"/>
          <w:lang w:val="zh-CN" w:eastAsia="zh-CN"/>
        </w:rPr>
        <w:t>在原公告发布媒体上发布澄清公告。澄清或者修改的内容可能影响投标文件编制的，集中采购机构和采购人将在投标截止时间至少</w:t>
      </w:r>
      <w:r>
        <w:rPr>
          <w:rFonts w:hint="eastAsia" w:ascii="宋体" w:hAnsi="宋体" w:eastAsia="宋体" w:cs="宋体"/>
          <w:sz w:val="24"/>
          <w:szCs w:val="20"/>
          <w:lang w:val="zh-CN"/>
        </w:rPr>
        <w:t>15</w:t>
      </w:r>
      <w:r>
        <w:rPr>
          <w:rFonts w:hint="eastAsia" w:ascii="宋体" w:hAnsi="宋体" w:eastAsia="宋体" w:cs="宋体"/>
          <w:kern w:val="0"/>
          <w:sz w:val="24"/>
          <w:szCs w:val="24"/>
          <w:lang w:val="zh-CN" w:eastAsia="zh-CN"/>
        </w:rPr>
        <w:t>日前，</w:t>
      </w:r>
      <w:r>
        <w:rPr>
          <w:rFonts w:hint="eastAsia" w:ascii="宋体" w:hAnsi="宋体" w:eastAsia="宋体" w:cs="宋体"/>
          <w:sz w:val="24"/>
          <w:szCs w:val="20"/>
          <w:lang w:val="zh-CN"/>
        </w:rPr>
        <w:t>通过电子采购平台（或网上公告）通知在电子采购平台针对本项目点击项目参与的每个潜在投标人</w:t>
      </w:r>
      <w:r>
        <w:rPr>
          <w:rFonts w:hint="eastAsia" w:ascii="宋体" w:hAnsi="宋体" w:eastAsia="宋体" w:cs="宋体"/>
          <w:kern w:val="0"/>
          <w:sz w:val="24"/>
          <w:szCs w:val="24"/>
          <w:lang w:val="zh-CN" w:eastAsia="zh-CN"/>
        </w:rPr>
        <w:t>。</w:t>
      </w:r>
    </w:p>
    <w:p>
      <w:pPr>
        <w:pageBreakBefore w:val="0"/>
        <w:numPr>
          <w:ilvl w:val="0"/>
          <w:numId w:val="13"/>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为使</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投标人有充足时间对招标文件的澄清或者修改的内容进行研究和响应，集中采购机构和采购人可适当顺延提交投标文件的截止时间，</w:t>
      </w:r>
      <w:r>
        <w:rPr>
          <w:rFonts w:hint="eastAsia" w:ascii="宋体" w:hAnsi="宋体" w:eastAsia="宋体" w:cs="宋体"/>
          <w:sz w:val="24"/>
          <w:szCs w:val="20"/>
          <w:lang w:val="zh-CN"/>
        </w:rPr>
        <w:t>通过电子采购平台（或网上公告）通知在电子采购平台针对本项目点击项目参与的每个潜在投标人</w:t>
      </w:r>
      <w:r>
        <w:rPr>
          <w:rFonts w:hint="eastAsia" w:ascii="宋体" w:hAnsi="宋体" w:eastAsia="宋体" w:cs="宋体"/>
          <w:sz w:val="24"/>
          <w:szCs w:val="20"/>
          <w:lang w:val="zh-CN" w:eastAsia="zh-CN"/>
        </w:rPr>
        <w:t>。</w:t>
      </w:r>
    </w:p>
    <w:p>
      <w:pPr>
        <w:pageBreakBefore w:val="0"/>
        <w:numPr>
          <w:ilvl w:val="0"/>
          <w:numId w:val="13"/>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澄清或者修改的内容为招标文件的组成部分，并对潜在投标人具有约束力。潜在投标人在收到上述通知后，应立即</w:t>
      </w:r>
      <w:r>
        <w:rPr>
          <w:rFonts w:hint="eastAsia" w:ascii="宋体" w:hAnsi="宋体" w:eastAsia="宋体" w:cs="宋体"/>
          <w:sz w:val="24"/>
          <w:szCs w:val="20"/>
          <w:lang w:val="zh-CN"/>
        </w:rPr>
        <w:t>在电子采购平台</w:t>
      </w:r>
      <w:r>
        <w:rPr>
          <w:rFonts w:hint="eastAsia" w:ascii="宋体" w:hAnsi="宋体" w:eastAsia="宋体" w:cs="宋体"/>
          <w:sz w:val="24"/>
          <w:szCs w:val="20"/>
          <w:lang w:val="zh-CN" w:eastAsia="zh-CN"/>
        </w:rPr>
        <w:t>向电子采购平台集中采购机构确认收悉。</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现场考察</w:t>
      </w:r>
    </w:p>
    <w:p>
      <w:pPr>
        <w:pageBreakBefore w:val="0"/>
        <w:numPr>
          <w:ilvl w:val="0"/>
          <w:numId w:val="14"/>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采购人可以在招标文件提供期限截止后，组织已</w:t>
      </w:r>
      <w:r>
        <w:rPr>
          <w:rFonts w:hint="eastAsia" w:ascii="宋体" w:hAnsi="宋体" w:eastAsia="宋体" w:cs="宋体"/>
          <w:kern w:val="0"/>
          <w:sz w:val="24"/>
          <w:szCs w:val="24"/>
          <w:lang w:val="zh-CN"/>
        </w:rPr>
        <w:t>在电子采购平台对本项目点击项目参与</w:t>
      </w:r>
      <w:r>
        <w:rPr>
          <w:rFonts w:hint="eastAsia" w:ascii="宋体" w:hAnsi="宋体" w:eastAsia="宋体" w:cs="宋体"/>
          <w:sz w:val="24"/>
          <w:szCs w:val="20"/>
          <w:lang w:val="zh-CN" w:eastAsia="zh-CN"/>
        </w:rPr>
        <w:t>的潜在投标人现场考察。采购人组织现场考察的，</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投标人可对项目现场及周围环境进行踏勘，以便获取有关编制投标文件和签署合同所涉及现场的资料。</w:t>
      </w:r>
    </w:p>
    <w:p>
      <w:pPr>
        <w:pageBreakBefore w:val="0"/>
        <w:numPr>
          <w:ilvl w:val="0"/>
          <w:numId w:val="14"/>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采购人向</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投标人提供有关现场的数据和资料。是采购人现有的能被</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投标人利用的客观资料，采购人对</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投标人依此作出的任何推论、理解和结论均不负责任。</w:t>
      </w:r>
    </w:p>
    <w:p>
      <w:pPr>
        <w:pageBreakBefore w:val="0"/>
        <w:numPr>
          <w:ilvl w:val="0"/>
          <w:numId w:val="14"/>
        </w:numPr>
        <w:kinsoku/>
        <w:wordWrap/>
        <w:overflowPunct/>
        <w:topLinePunct w:val="0"/>
        <w:autoSpaceDE/>
        <w:autoSpaceDN/>
        <w:bidi w:val="0"/>
        <w:adjustRightInd/>
        <w:snapToGrid/>
        <w:spacing w:line="360" w:lineRule="auto"/>
        <w:ind w:left="476" w:hanging="476"/>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经采购人允许，</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投标人可进入项目现场进行考察，但</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投标人不得因此使采购人承担有关责任和蒙受损失。</w:t>
      </w:r>
      <w:r>
        <w:rPr>
          <w:rFonts w:hint="eastAsia" w:ascii="宋体" w:hAnsi="宋体" w:eastAsia="宋体" w:cs="宋体"/>
          <w:sz w:val="24"/>
          <w:szCs w:val="20"/>
          <w:lang w:val="zh-CN"/>
        </w:rPr>
        <w:t>潜在</w:t>
      </w:r>
      <w:r>
        <w:rPr>
          <w:rFonts w:hint="eastAsia" w:ascii="宋体" w:hAnsi="宋体" w:eastAsia="宋体" w:cs="宋体"/>
          <w:sz w:val="24"/>
          <w:szCs w:val="20"/>
          <w:lang w:val="zh-CN" w:eastAsia="zh-CN"/>
        </w:rPr>
        <w:t>投标人应自行承担现场考察的全部费用、责任和风险。</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0" w:name="_Toc23954"/>
      <w:r>
        <w:rPr>
          <w:rFonts w:hint="eastAsia" w:ascii="宋体" w:hAnsi="宋体" w:eastAsia="宋体" w:cs="宋体"/>
          <w:bCs w:val="0"/>
          <w:lang w:val="zh-CN" w:eastAsia="zh-CN"/>
        </w:rPr>
        <w:t>投标文件</w:t>
      </w:r>
      <w:bookmarkEnd w:id="20"/>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投标的语言</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投标人提交的投标文件以及投标人与集中采购机构或采购人就有关投标的所有来往函电均应使用中文。投标人提交的相关证明文件、资料或文献可以用另一种语言，但相应内容应附有中文翻译本，在解释投标文件的相关内容时以中文翻译本为准。</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投标文件的构成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各包段</w:t>
      </w:r>
      <w:r>
        <w:rPr>
          <w:rFonts w:hint="eastAsia" w:ascii="宋体" w:hAnsi="宋体" w:eastAsia="宋体" w:cs="宋体"/>
          <w:sz w:val="24"/>
          <w:szCs w:val="24"/>
          <w:lang w:val="zh-CN" w:eastAsia="zh-CN"/>
        </w:rPr>
        <w:t>投标人编制的</w:t>
      </w:r>
      <w:r>
        <w:rPr>
          <w:rFonts w:hint="eastAsia" w:ascii="宋体" w:hAnsi="宋体" w:eastAsia="宋体" w:cs="宋体"/>
          <w:b/>
          <w:sz w:val="24"/>
          <w:szCs w:val="24"/>
          <w:lang w:val="zh-CN" w:eastAsia="zh-CN"/>
        </w:rPr>
        <w:t>投标文件</w:t>
      </w:r>
      <w:r>
        <w:rPr>
          <w:rFonts w:hint="eastAsia" w:ascii="宋体" w:hAnsi="宋体" w:eastAsia="宋体" w:cs="宋体"/>
          <w:sz w:val="24"/>
          <w:szCs w:val="24"/>
          <w:lang w:val="zh-CN" w:eastAsia="zh-CN"/>
        </w:rPr>
        <w:t>应包括</w:t>
      </w:r>
      <w:r>
        <w:rPr>
          <w:rFonts w:hint="eastAsia" w:ascii="宋体" w:hAnsi="宋体" w:eastAsia="宋体" w:cs="宋体"/>
          <w:sz w:val="24"/>
          <w:szCs w:val="24"/>
          <w:lang w:val="zh-CN"/>
        </w:rPr>
        <w:t>投标文件（PDF格式）和投标数据文件（</w:t>
      </w:r>
      <w:r>
        <w:rPr>
          <w:rFonts w:hint="eastAsia" w:ascii="宋体" w:hAnsi="宋体" w:eastAsia="宋体" w:cs="宋体"/>
          <w:sz w:val="24"/>
          <w:szCs w:val="24"/>
          <w:lang w:val="zh-CN" w:eastAsia="zh-CN"/>
        </w:rPr>
        <w:t>Excel</w:t>
      </w:r>
      <w:r>
        <w:rPr>
          <w:rFonts w:hint="eastAsia" w:ascii="宋体" w:hAnsi="宋体" w:eastAsia="宋体" w:cs="宋体"/>
          <w:sz w:val="24"/>
          <w:szCs w:val="24"/>
          <w:lang w:val="zh-CN"/>
        </w:rPr>
        <w:t>格式），</w:t>
      </w:r>
      <w:r>
        <w:rPr>
          <w:rFonts w:hint="eastAsia" w:ascii="宋体" w:hAnsi="宋体" w:eastAsia="宋体" w:cs="宋体"/>
          <w:sz w:val="24"/>
          <w:szCs w:val="24"/>
          <w:lang w:val="zh-CN" w:eastAsia="zh-CN"/>
        </w:rPr>
        <w:t>但不</w:t>
      </w:r>
      <w:r>
        <w:rPr>
          <w:rFonts w:hint="eastAsia" w:ascii="宋体" w:hAnsi="宋体" w:eastAsia="宋体" w:cs="宋体"/>
          <w:sz w:val="24"/>
          <w:szCs w:val="24"/>
          <w:lang w:val="zh-CN"/>
        </w:rPr>
        <w:t>限</w:t>
      </w:r>
      <w:r>
        <w:rPr>
          <w:rFonts w:hint="eastAsia" w:ascii="宋体" w:hAnsi="宋体" w:eastAsia="宋体" w:cs="宋体"/>
          <w:sz w:val="24"/>
          <w:szCs w:val="24"/>
          <w:lang w:val="zh-CN" w:eastAsia="zh-CN"/>
        </w:rPr>
        <w:t>于下列内容：</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lang w:val="zh-CN"/>
        </w:rPr>
      </w:pPr>
      <w:r>
        <w:rPr>
          <w:rFonts w:hint="eastAsia" w:ascii="宋体" w:hAnsi="宋体" w:eastAsia="宋体" w:cs="宋体"/>
          <w:sz w:val="24"/>
          <w:szCs w:val="20"/>
          <w:lang w:val="zh-CN" w:eastAsia="zh-CN"/>
        </w:rPr>
        <w:t>10.1</w:t>
      </w:r>
      <w:r>
        <w:rPr>
          <w:rFonts w:hint="eastAsia" w:ascii="宋体" w:hAnsi="宋体" w:eastAsia="宋体" w:cs="宋体"/>
          <w:b/>
          <w:sz w:val="24"/>
          <w:szCs w:val="24"/>
          <w:lang w:val="zh-CN" w:eastAsia="zh-CN"/>
        </w:rPr>
        <w:t>投标文件</w:t>
      </w:r>
      <w:r>
        <w:rPr>
          <w:rFonts w:hint="eastAsia" w:ascii="宋体" w:hAnsi="宋体" w:eastAsia="宋体" w:cs="宋体"/>
          <w:b/>
          <w:sz w:val="24"/>
          <w:szCs w:val="24"/>
          <w:lang w:val="zh-CN"/>
        </w:rPr>
        <w:t>（PDF格式）</w:t>
      </w:r>
    </w:p>
    <w:p>
      <w:pPr>
        <w:pageBreakBefore w:val="0"/>
        <w:kinsoku/>
        <w:wordWrap/>
        <w:overflowPunct/>
        <w:topLinePunct w:val="0"/>
        <w:autoSpaceDE/>
        <w:autoSpaceDN/>
        <w:bidi w:val="0"/>
        <w:adjustRightInd/>
        <w:snapToGrid/>
        <w:spacing w:line="360" w:lineRule="auto"/>
        <w:ind w:left="1673" w:leftChars="229" w:hanging="1192" w:hangingChars="497"/>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第一部分  </w:t>
      </w:r>
      <w:r>
        <w:rPr>
          <w:rFonts w:hint="eastAsia" w:ascii="宋体" w:hAnsi="宋体" w:eastAsia="宋体" w:cs="宋体"/>
          <w:sz w:val="24"/>
          <w:szCs w:val="24"/>
          <w:lang w:val="zh-CN" w:eastAsia="zh-CN"/>
        </w:rPr>
        <w:t>资格证明文件（详见第七章“投标文件格式”中资格证明文件组成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第二部分  </w:t>
      </w:r>
      <w:r>
        <w:rPr>
          <w:rFonts w:hint="eastAsia" w:ascii="宋体" w:hAnsi="宋体" w:eastAsia="宋体" w:cs="宋体"/>
          <w:sz w:val="24"/>
          <w:szCs w:val="24"/>
          <w:lang w:val="zh-CN" w:eastAsia="zh-CN"/>
        </w:rPr>
        <w:t>商务文件（详见第七章“投标文件格式”中商务文件组成）</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第三部分  </w:t>
      </w:r>
      <w:r>
        <w:rPr>
          <w:rFonts w:hint="eastAsia" w:ascii="宋体" w:hAnsi="宋体" w:eastAsia="宋体" w:cs="宋体"/>
          <w:sz w:val="24"/>
          <w:szCs w:val="24"/>
          <w:lang w:val="zh-CN" w:eastAsia="zh-CN"/>
        </w:rPr>
        <w:t>技术、服务文件（详见第七章“投标文件格式”中技术、服务文件组成）</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10.2</w:t>
      </w:r>
      <w:r>
        <w:rPr>
          <w:rFonts w:hint="eastAsia" w:ascii="宋体" w:hAnsi="宋体" w:eastAsia="宋体" w:cs="宋体"/>
          <w:b/>
          <w:sz w:val="24"/>
          <w:szCs w:val="24"/>
          <w:lang w:val="zh-CN"/>
        </w:rPr>
        <w:t>投标数据</w:t>
      </w:r>
      <w:r>
        <w:rPr>
          <w:rFonts w:hint="eastAsia" w:ascii="宋体" w:hAnsi="宋体" w:eastAsia="宋体" w:cs="宋体"/>
          <w:b/>
          <w:sz w:val="24"/>
          <w:szCs w:val="24"/>
          <w:lang w:val="zh-CN" w:eastAsia="zh-CN"/>
        </w:rPr>
        <w:t>文件（Excel</w:t>
      </w:r>
      <w:r>
        <w:rPr>
          <w:rFonts w:hint="eastAsia" w:ascii="宋体" w:hAnsi="宋体" w:eastAsia="宋体" w:cs="宋体"/>
          <w:b/>
          <w:sz w:val="24"/>
          <w:szCs w:val="24"/>
          <w:lang w:val="zh-CN"/>
        </w:rPr>
        <w:t>格式</w:t>
      </w:r>
      <w:r>
        <w:rPr>
          <w:rFonts w:hint="eastAsia" w:ascii="宋体" w:hAnsi="宋体" w:eastAsia="宋体" w:cs="宋体"/>
          <w:b/>
          <w:sz w:val="24"/>
          <w:szCs w:val="24"/>
          <w:lang w:val="zh-CN" w:eastAsia="zh-CN"/>
        </w:rPr>
        <w:t>）</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第一部分  封面</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第二部分  开标一览表（含明细）</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第三部分  需求响应表（如有）</w:t>
      </w:r>
    </w:p>
    <w:p>
      <w:pPr>
        <w:pageBreakBefore w:val="0"/>
        <w:tabs>
          <w:tab w:val="left" w:pos="47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第四部分  评审对照表</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0"/>
          <w:lang w:val="zh-CN"/>
        </w:rPr>
        <w:t>第五部分  评分对照表（如有）</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投标文件编制</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招标文件有分包要求，投标人对招标文件中多个包进行投标的，其投标文件的编制应按每包要求分别</w:t>
      </w:r>
      <w:r>
        <w:rPr>
          <w:rFonts w:hint="eastAsia" w:ascii="宋体" w:hAnsi="宋体" w:eastAsia="宋体" w:cs="宋体"/>
          <w:sz w:val="24"/>
          <w:szCs w:val="24"/>
          <w:lang w:val="zh-CN"/>
        </w:rPr>
        <w:t>制作，并注明对应包号</w:t>
      </w:r>
      <w:r>
        <w:rPr>
          <w:rFonts w:hint="eastAsia" w:ascii="宋体" w:hAnsi="宋体" w:eastAsia="宋体" w:cs="宋体"/>
          <w:sz w:val="24"/>
          <w:szCs w:val="24"/>
          <w:lang w:val="zh-CN" w:eastAsia="zh-CN"/>
        </w:rPr>
        <w:t>。</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投标人应对投标文件中所提供资料的真实性负责，若有虚假，将依法承担相应责任。投标人应自觉接受集中采购机构对其中任何资料进一步核实的要求。</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因投标人投标文件填报的内容不详，或没有提供招标文件中所要求的全部资料及数据等，由此产生的后果及责任由投标人自行承担。</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文件（PDF格式）应按招标文件中第七章“投标文件格式”按包段编写投标文件，使用A4规格编制，应编写目录，目录能链接到投标文件（PDF格式）对应章节；且具有文档结构图（设置方法：在Word中设置相应章节的段落大纲级别；查看方法：打开Word视图中的“文档结构图”后能看到各章节）。投标文件（PDF格式）中第一部分资格证明文件、第二部分商务文件、第三部分技术、服务文件的</w:t>
      </w:r>
      <w:r>
        <w:rPr>
          <w:rFonts w:hint="eastAsia" w:ascii="宋体" w:hAnsi="宋体" w:eastAsia="宋体" w:cs="宋体"/>
          <w:b/>
          <w:sz w:val="24"/>
          <w:szCs w:val="24"/>
          <w:lang w:val="zh-CN"/>
        </w:rPr>
        <w:t>页码必须连续</w:t>
      </w:r>
      <w:r>
        <w:rPr>
          <w:rFonts w:hint="eastAsia" w:ascii="宋体" w:hAnsi="宋体" w:eastAsia="宋体" w:cs="宋体"/>
          <w:sz w:val="24"/>
          <w:szCs w:val="24"/>
          <w:lang w:val="zh-CN"/>
        </w:rPr>
        <w:t>。</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投标数据文件（</w:t>
      </w:r>
      <w:r>
        <w:rPr>
          <w:rFonts w:hint="eastAsia" w:ascii="宋体" w:hAnsi="宋体" w:eastAsia="宋体" w:cs="宋体"/>
          <w:sz w:val="24"/>
          <w:szCs w:val="24"/>
        </w:rPr>
        <w:t>Excel</w:t>
      </w:r>
      <w:r>
        <w:rPr>
          <w:rFonts w:hint="eastAsia" w:ascii="宋体" w:hAnsi="宋体" w:eastAsia="宋体" w:cs="宋体"/>
          <w:sz w:val="24"/>
          <w:szCs w:val="24"/>
          <w:lang w:val="zh-CN"/>
        </w:rPr>
        <w:t>格式）</w:t>
      </w:r>
      <w:r>
        <w:rPr>
          <w:rFonts w:hint="eastAsia" w:ascii="宋体" w:hAnsi="宋体" w:eastAsia="宋体" w:cs="宋体"/>
          <w:sz w:val="24"/>
          <w:szCs w:val="24"/>
        </w:rPr>
        <w:t>应确保招标文件的内容已充分覆盖了《</w:t>
      </w:r>
      <w:r>
        <w:rPr>
          <w:rFonts w:hint="eastAsia" w:ascii="宋体" w:hAnsi="宋体" w:eastAsia="宋体" w:cs="宋体"/>
          <w:sz w:val="24"/>
          <w:szCs w:val="20"/>
          <w:lang w:val="zh-CN"/>
        </w:rPr>
        <w:t>开标一览表（含明细）</w:t>
      </w:r>
      <w:r>
        <w:rPr>
          <w:rFonts w:hint="eastAsia" w:ascii="宋体" w:hAnsi="宋体" w:eastAsia="宋体" w:cs="宋体"/>
          <w:sz w:val="24"/>
          <w:szCs w:val="24"/>
        </w:rPr>
        <w:t>》</w:t>
      </w:r>
      <w:r>
        <w:rPr>
          <w:rFonts w:hint="eastAsia" w:ascii="宋体" w:hAnsi="宋体" w:eastAsia="宋体" w:cs="宋体"/>
          <w:sz w:val="24"/>
          <w:szCs w:val="20"/>
          <w:lang w:val="zh-CN"/>
        </w:rPr>
        <w:t>、《需求响应表》、</w:t>
      </w:r>
      <w:r>
        <w:rPr>
          <w:rFonts w:hint="eastAsia" w:ascii="宋体" w:hAnsi="宋体" w:eastAsia="宋体" w:cs="宋体"/>
          <w:sz w:val="24"/>
          <w:szCs w:val="24"/>
        </w:rPr>
        <w:t>《评审对照表》、《评分对照表》(如有)中的各项要求，并准确将对应的起止页码填写到表格中每项后的起始页码和终止页码栏位上。</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rPr>
        <w:t>为了保证系统电子化处理效率，投标人在保证可辨认清晰度情况下扫描时应尽量降低扫描分辨率，输出为JPG文件格式，以减少成稿文件的容量大小。对于以文字为主的文件扫描，建议最高200DPI；对于图片为主且颜色丰富的文件，建议最高300DPI。</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rPr>
        <w:t>为了保证系统整体效率，系统对所提交的电子投标文件有容量的限制，因此，投标人应尽可能降低本文件的大小，小尺寸投标文件将使递交更快捷、减少差错发生几率，避免投标截止时间前未能完整上传投标文件。</w:t>
      </w:r>
    </w:p>
    <w:p>
      <w:pPr>
        <w:pageBreakBefore w:val="0"/>
        <w:numPr>
          <w:ilvl w:val="0"/>
          <w:numId w:val="1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rPr>
        <w:t>投标文件及相关资料无论投标人中标与否均不予退还。</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投标报价</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投标人所提供的货物（工程或服务）均以人民币计价。</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投标人应按照“第三章 项目技术、服务及商务要求”规定的货物（工程或服务）内容、责任范围以及合同条款进行报价。并按照招标文件的格式报出分项价格和投标总价。报价上的优惠应体现在各分项报价中，投标总价应为优惠后的最终报价。投标总价中不得包含招标文件要求以外的内容，否则，在评标时不予核减。</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0"/>
          <w:lang w:val="zh-CN"/>
        </w:rPr>
        <w:t>开标一览表（含明细）</w:t>
      </w:r>
      <w:r>
        <w:rPr>
          <w:rFonts w:hint="eastAsia" w:ascii="宋体" w:hAnsi="宋体" w:eastAsia="宋体" w:cs="宋体"/>
          <w:sz w:val="24"/>
          <w:szCs w:val="24"/>
          <w:lang w:val="zh-CN"/>
        </w:rPr>
        <w:t>》填写时应响应下列要求：</w:t>
      </w:r>
    </w:p>
    <w:p>
      <w:pPr>
        <w:pageBreakBefore w:val="0"/>
        <w:numPr>
          <w:ilvl w:val="0"/>
          <w:numId w:val="17"/>
        </w:numPr>
        <w:kinsoku/>
        <w:wordWrap/>
        <w:overflowPunct/>
        <w:topLinePunct w:val="0"/>
        <w:autoSpaceDE/>
        <w:autoSpaceDN/>
        <w:bidi w:val="0"/>
        <w:adjustRightInd/>
        <w:snapToGrid/>
        <w:spacing w:line="360" w:lineRule="auto"/>
        <w:ind w:left="980" w:hanging="854"/>
        <w:textAlignment w:val="auto"/>
        <w:rPr>
          <w:rFonts w:hint="eastAsia" w:ascii="宋体" w:hAnsi="宋体" w:eastAsia="宋体" w:cs="宋体"/>
          <w:sz w:val="24"/>
          <w:szCs w:val="24"/>
          <w:lang w:val="zh-CN" w:eastAsia="zh-CN"/>
        </w:rPr>
      </w:pPr>
      <w:r>
        <w:rPr>
          <w:rFonts w:hint="eastAsia" w:ascii="宋体" w:hAnsi="宋体" w:eastAsia="宋体" w:cs="宋体"/>
          <w:sz w:val="24"/>
        </w:rPr>
        <w:t>应包括所有根据合同或其他原因由投标人支付的款项、费用</w:t>
      </w:r>
      <w:r>
        <w:rPr>
          <w:rFonts w:hint="eastAsia" w:ascii="宋体" w:hAnsi="宋体" w:eastAsia="宋体" w:cs="宋体"/>
          <w:sz w:val="24"/>
          <w:szCs w:val="24"/>
          <w:lang w:val="zh-CN" w:eastAsia="zh-CN"/>
        </w:rPr>
        <w:t>；</w:t>
      </w:r>
    </w:p>
    <w:p>
      <w:pPr>
        <w:pageBreakBefore w:val="0"/>
        <w:numPr>
          <w:ilvl w:val="0"/>
          <w:numId w:val="17"/>
        </w:numPr>
        <w:kinsoku/>
        <w:wordWrap/>
        <w:overflowPunct/>
        <w:topLinePunct w:val="0"/>
        <w:autoSpaceDE/>
        <w:autoSpaceDN/>
        <w:bidi w:val="0"/>
        <w:adjustRightInd/>
        <w:snapToGrid/>
        <w:spacing w:line="360" w:lineRule="auto"/>
        <w:ind w:left="980" w:hanging="854"/>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应包含货物运至最终目的地的运输、保险和伴随货物</w:t>
      </w:r>
      <w:r>
        <w:rPr>
          <w:rFonts w:hint="eastAsia" w:ascii="宋体" w:hAnsi="宋体" w:eastAsia="宋体" w:cs="宋体"/>
          <w:sz w:val="24"/>
          <w:szCs w:val="24"/>
          <w:lang w:val="zh-CN"/>
        </w:rPr>
        <w:t>（工程或服务）</w:t>
      </w:r>
      <w:r>
        <w:rPr>
          <w:rFonts w:hint="eastAsia" w:ascii="宋体" w:hAnsi="宋体" w:eastAsia="宋体" w:cs="宋体"/>
          <w:sz w:val="24"/>
          <w:szCs w:val="24"/>
          <w:lang w:val="zh-CN" w:eastAsia="zh-CN"/>
        </w:rPr>
        <w:t>的有关费用</w:t>
      </w:r>
      <w:r>
        <w:rPr>
          <w:rFonts w:hint="eastAsia" w:ascii="宋体" w:hAnsi="宋体" w:eastAsia="宋体" w:cs="宋体"/>
          <w:sz w:val="24"/>
          <w:szCs w:val="24"/>
          <w:lang w:val="zh-CN"/>
        </w:rPr>
        <w:t>。</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每一种规格的货物（工程或服务）只允许有一个报价</w:t>
      </w:r>
      <w:r>
        <w:rPr>
          <w:rFonts w:hint="eastAsia" w:ascii="宋体" w:hAnsi="宋体" w:eastAsia="宋体" w:cs="宋体"/>
          <w:sz w:val="24"/>
          <w:szCs w:val="24"/>
          <w:lang w:val="zh-CN" w:eastAsia="zh-CN"/>
        </w:rPr>
        <w:t>，否则</w:t>
      </w:r>
      <w:r>
        <w:rPr>
          <w:rFonts w:hint="eastAsia" w:ascii="宋体" w:hAnsi="宋体" w:eastAsia="宋体" w:cs="宋体"/>
          <w:sz w:val="24"/>
          <w:szCs w:val="24"/>
          <w:lang w:val="zh-CN"/>
        </w:rPr>
        <w:t>按照</w:t>
      </w:r>
      <w:r>
        <w:rPr>
          <w:rFonts w:hint="eastAsia" w:ascii="宋体" w:hAnsi="宋体" w:eastAsia="宋体" w:cs="宋体"/>
          <w:b/>
          <w:sz w:val="24"/>
          <w:szCs w:val="24"/>
          <w:lang w:val="zh-CN" w:eastAsia="zh-CN"/>
        </w:rPr>
        <w:t>无效投标</w:t>
      </w:r>
      <w:r>
        <w:rPr>
          <w:rFonts w:hint="eastAsia" w:ascii="宋体" w:hAnsi="宋体" w:eastAsia="宋体" w:cs="宋体"/>
          <w:b/>
          <w:sz w:val="24"/>
          <w:szCs w:val="24"/>
          <w:lang w:val="zh-CN"/>
        </w:rPr>
        <w:t>处理</w:t>
      </w:r>
      <w:r>
        <w:rPr>
          <w:rFonts w:hint="eastAsia" w:ascii="宋体" w:hAnsi="宋体" w:eastAsia="宋体" w:cs="宋体"/>
          <w:sz w:val="24"/>
          <w:szCs w:val="24"/>
          <w:lang w:val="zh-CN" w:eastAsia="zh-CN"/>
        </w:rPr>
        <w:t>。</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投标人的投标总报价在合同执行过程中是固定不变的</w:t>
      </w:r>
      <w:r>
        <w:rPr>
          <w:rFonts w:hint="eastAsia" w:ascii="宋体" w:hAnsi="宋体" w:eastAsia="宋体" w:cs="宋体"/>
          <w:sz w:val="24"/>
          <w:szCs w:val="24"/>
          <w:lang w:val="zh-CN" w:eastAsia="zh-CN"/>
        </w:rPr>
        <w:t>，不得以任何理由予以变更。故投标人的投标</w:t>
      </w:r>
      <w:r>
        <w:rPr>
          <w:rFonts w:hint="eastAsia" w:ascii="宋体" w:hAnsi="宋体" w:eastAsia="宋体" w:cs="宋体"/>
          <w:sz w:val="24"/>
          <w:szCs w:val="24"/>
          <w:lang w:val="zh-CN"/>
        </w:rPr>
        <w:t>总</w:t>
      </w:r>
      <w:r>
        <w:rPr>
          <w:rFonts w:hint="eastAsia" w:ascii="宋体" w:hAnsi="宋体" w:eastAsia="宋体" w:cs="宋体"/>
          <w:sz w:val="24"/>
          <w:szCs w:val="24"/>
          <w:lang w:val="zh-CN" w:eastAsia="zh-CN"/>
        </w:rPr>
        <w:t>报价应包含本招标内容全部工作所需的一切费用，即投标总报价为“交钥匙”价。对在合同实施过程中可能发生的其它费用（如：增加耗材、材料涨价、人工、运输成本增加等因素），采购人不予支付。</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对于招标文件未列明</w:t>
      </w:r>
      <w:r>
        <w:rPr>
          <w:rFonts w:hint="eastAsia" w:ascii="宋体" w:hAnsi="宋体" w:eastAsia="宋体" w:cs="宋体"/>
          <w:sz w:val="24"/>
          <w:szCs w:val="24"/>
          <w:lang w:val="zh-CN" w:eastAsia="zh-CN"/>
        </w:rPr>
        <w:t>，而投标人认为必需的费用也需列入其投标总价。在合同实施时，采购人将不予支付投标人没有列入的项目费用，并认为此项目的费用已包括在其投标总价中。</w:t>
      </w:r>
    </w:p>
    <w:p>
      <w:pPr>
        <w:pageBreakBefore w:val="0"/>
        <w:numPr>
          <w:ilvl w:val="0"/>
          <w:numId w:val="16"/>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投标人应对项目招标范围内的全部内容进行报价</w:t>
      </w:r>
      <w:r>
        <w:rPr>
          <w:rFonts w:hint="eastAsia" w:ascii="宋体" w:hAnsi="宋体" w:eastAsia="宋体" w:cs="宋体"/>
          <w:sz w:val="24"/>
          <w:szCs w:val="24"/>
          <w:lang w:val="zh-CN" w:eastAsia="zh-CN"/>
        </w:rPr>
        <w:t>，不得缺</w:t>
      </w:r>
      <w:r>
        <w:rPr>
          <w:rFonts w:hint="eastAsia" w:ascii="宋体" w:hAnsi="宋体" w:eastAsia="宋体" w:cs="宋体"/>
          <w:sz w:val="24"/>
          <w:szCs w:val="24"/>
          <w:lang w:val="zh-CN"/>
        </w:rPr>
        <w:t>、漏</w:t>
      </w:r>
      <w:r>
        <w:rPr>
          <w:rFonts w:hint="eastAsia" w:ascii="宋体" w:hAnsi="宋体" w:eastAsia="宋体" w:cs="宋体"/>
          <w:sz w:val="24"/>
          <w:szCs w:val="24"/>
          <w:lang w:val="zh-CN" w:eastAsia="zh-CN"/>
        </w:rPr>
        <w:t>项或只投其中的部分内容</w:t>
      </w:r>
      <w:r>
        <w:rPr>
          <w:rFonts w:hint="eastAsia" w:ascii="宋体" w:hAnsi="宋体" w:eastAsia="宋体" w:cs="宋体"/>
          <w:sz w:val="24"/>
          <w:szCs w:val="24"/>
          <w:lang w:val="zh-CN"/>
        </w:rPr>
        <w:t>的</w:t>
      </w:r>
      <w:r>
        <w:rPr>
          <w:rFonts w:hint="eastAsia" w:ascii="宋体" w:hAnsi="宋体" w:eastAsia="宋体" w:cs="宋体"/>
          <w:sz w:val="24"/>
          <w:szCs w:val="24"/>
          <w:lang w:val="zh-CN" w:eastAsia="zh-CN"/>
        </w:rPr>
        <w:t>，否则</w:t>
      </w:r>
      <w:r>
        <w:rPr>
          <w:rFonts w:hint="eastAsia" w:ascii="宋体" w:hAnsi="宋体" w:eastAsia="宋体" w:cs="宋体"/>
          <w:sz w:val="24"/>
          <w:szCs w:val="24"/>
          <w:lang w:val="zh-CN"/>
        </w:rPr>
        <w:t>按照</w:t>
      </w:r>
      <w:r>
        <w:rPr>
          <w:rFonts w:hint="eastAsia" w:ascii="宋体" w:hAnsi="宋体" w:eastAsia="宋体" w:cs="宋体"/>
          <w:b/>
          <w:sz w:val="24"/>
          <w:szCs w:val="24"/>
          <w:lang w:val="zh-CN" w:eastAsia="zh-CN"/>
        </w:rPr>
        <w:t>无效投标</w:t>
      </w:r>
      <w:r>
        <w:rPr>
          <w:rFonts w:hint="eastAsia" w:ascii="宋体" w:hAnsi="宋体" w:eastAsia="宋体" w:cs="宋体"/>
          <w:b/>
          <w:sz w:val="24"/>
          <w:szCs w:val="24"/>
          <w:lang w:val="zh-CN"/>
        </w:rPr>
        <w:t>处理</w:t>
      </w:r>
      <w:r>
        <w:rPr>
          <w:rFonts w:hint="eastAsia" w:ascii="宋体" w:hAnsi="宋体" w:eastAsia="宋体" w:cs="宋体"/>
          <w:sz w:val="24"/>
          <w:szCs w:val="24"/>
          <w:lang w:val="zh-CN" w:eastAsia="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备选方案</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只允许投标人提供一个投标方案</w:t>
      </w:r>
      <w:r>
        <w:rPr>
          <w:rFonts w:hint="eastAsia" w:ascii="宋体" w:hAnsi="宋体" w:eastAsia="宋体" w:cs="宋体"/>
          <w:sz w:val="24"/>
          <w:szCs w:val="24"/>
          <w:lang w:val="zh-CN"/>
        </w:rPr>
        <w:t>（招标文件中要求提供备选方案的除外）</w:t>
      </w:r>
      <w:r>
        <w:rPr>
          <w:rFonts w:hint="eastAsia" w:ascii="宋体" w:hAnsi="宋体" w:eastAsia="宋体" w:cs="宋体"/>
          <w:sz w:val="24"/>
          <w:szCs w:val="24"/>
          <w:lang w:val="zh-CN" w:eastAsia="zh-CN"/>
        </w:rPr>
        <w:t>，否则</w:t>
      </w:r>
      <w:r>
        <w:rPr>
          <w:rFonts w:hint="eastAsia" w:ascii="宋体" w:hAnsi="宋体" w:eastAsia="宋体" w:cs="宋体"/>
          <w:sz w:val="24"/>
          <w:szCs w:val="24"/>
          <w:lang w:val="zh-CN"/>
        </w:rPr>
        <w:t>按照</w:t>
      </w:r>
      <w:r>
        <w:rPr>
          <w:rFonts w:hint="eastAsia" w:ascii="宋体" w:hAnsi="宋体" w:eastAsia="宋体" w:cs="宋体"/>
          <w:b/>
          <w:sz w:val="24"/>
          <w:szCs w:val="24"/>
          <w:lang w:val="zh-CN" w:eastAsia="zh-CN"/>
        </w:rPr>
        <w:t>无效投标</w:t>
      </w:r>
      <w:r>
        <w:rPr>
          <w:rFonts w:hint="eastAsia" w:ascii="宋体" w:hAnsi="宋体" w:eastAsia="宋体" w:cs="宋体"/>
          <w:b/>
          <w:sz w:val="24"/>
          <w:szCs w:val="24"/>
          <w:lang w:val="zh-CN"/>
        </w:rPr>
        <w:t>处理</w:t>
      </w:r>
      <w:r>
        <w:rPr>
          <w:rFonts w:hint="eastAsia" w:ascii="宋体" w:hAnsi="宋体" w:eastAsia="宋体" w:cs="宋体"/>
          <w:sz w:val="24"/>
          <w:szCs w:val="24"/>
          <w:lang w:val="zh-CN" w:eastAsia="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rPr>
        <w:t>中标后分包</w:t>
      </w:r>
    </w:p>
    <w:p>
      <w:pPr>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14.1</w:t>
      </w:r>
      <w:r>
        <w:rPr>
          <w:rFonts w:hint="eastAsia" w:ascii="宋体" w:hAnsi="宋体" w:eastAsia="宋体" w:cs="宋体"/>
          <w:sz w:val="24"/>
          <w:szCs w:val="24"/>
          <w:lang w:val="zh-CN" w:eastAsia="zh-CN"/>
        </w:rPr>
        <w:t>招标文件规定项目非主体、非关键性工作</w:t>
      </w:r>
      <w:r>
        <w:rPr>
          <w:rFonts w:hint="eastAsia" w:ascii="宋体" w:hAnsi="宋体" w:eastAsia="宋体" w:cs="宋体"/>
          <w:sz w:val="24"/>
          <w:szCs w:val="24"/>
          <w:lang w:val="zh-CN"/>
        </w:rPr>
        <w:t>中标后</w:t>
      </w:r>
      <w:r>
        <w:rPr>
          <w:rFonts w:hint="eastAsia" w:ascii="宋体" w:hAnsi="宋体" w:eastAsia="宋体" w:cs="宋体"/>
          <w:sz w:val="24"/>
          <w:szCs w:val="24"/>
          <w:lang w:val="zh-CN" w:eastAsia="zh-CN"/>
        </w:rPr>
        <w:t>可以分包的，投标人拟在中标后将项目的非主体、非关键性工作分包，应</w:t>
      </w:r>
      <w:r>
        <w:rPr>
          <w:rFonts w:hint="eastAsia" w:ascii="宋体" w:hAnsi="宋体" w:eastAsia="宋体" w:cs="宋体"/>
          <w:sz w:val="24"/>
          <w:szCs w:val="24"/>
          <w:lang w:val="zh-CN"/>
        </w:rPr>
        <w:t>与</w:t>
      </w:r>
      <w:r>
        <w:rPr>
          <w:rFonts w:hint="eastAsia" w:ascii="宋体" w:hAnsi="宋体" w:eastAsia="宋体" w:cs="宋体"/>
          <w:sz w:val="24"/>
          <w:szCs w:val="24"/>
          <w:lang w:val="zh-CN" w:eastAsia="zh-CN"/>
        </w:rPr>
        <w:t>具备相应资质条件</w:t>
      </w:r>
      <w:r>
        <w:rPr>
          <w:rFonts w:hint="eastAsia" w:ascii="宋体" w:hAnsi="宋体" w:eastAsia="宋体" w:cs="宋体"/>
          <w:sz w:val="24"/>
          <w:szCs w:val="24"/>
          <w:lang w:val="zh-CN"/>
        </w:rPr>
        <w:t>的接受分包主体签订分包意向协议，明确分包合同份额占合同总金额的比例，接受</w:t>
      </w:r>
      <w:r>
        <w:rPr>
          <w:rFonts w:hint="eastAsia" w:ascii="宋体" w:hAnsi="宋体" w:eastAsia="宋体" w:cs="宋体"/>
          <w:sz w:val="24"/>
          <w:szCs w:val="24"/>
          <w:lang w:val="zh-CN" w:eastAsia="zh-CN"/>
        </w:rPr>
        <w:t>分包主体不得再次分包。</w:t>
      </w:r>
    </w:p>
    <w:p>
      <w:pPr>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14.2享受中小企业扶持政策获得政府采购合同的，小微企业不得将合同分包给大中型企业，中型企业不得将合同分包给大型企业。</w:t>
      </w:r>
    </w:p>
    <w:p>
      <w:pPr>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14.3</w:t>
      </w:r>
      <w:r>
        <w:rPr>
          <w:rFonts w:hint="eastAsia" w:ascii="宋体" w:hAnsi="宋体" w:eastAsia="宋体" w:cs="宋体"/>
          <w:sz w:val="24"/>
          <w:szCs w:val="24"/>
          <w:lang w:val="zh-CN" w:eastAsia="zh-CN"/>
        </w:rPr>
        <w:t>招标文件未规定投标人中标后可以(或要求)分包的，</w:t>
      </w:r>
      <w:r>
        <w:rPr>
          <w:rFonts w:hint="eastAsia" w:ascii="宋体" w:hAnsi="宋体" w:eastAsia="宋体" w:cs="宋体"/>
          <w:sz w:val="24"/>
          <w:szCs w:val="24"/>
          <w:lang w:val="zh-CN"/>
        </w:rPr>
        <w:t>若</w:t>
      </w:r>
      <w:r>
        <w:rPr>
          <w:rFonts w:hint="eastAsia" w:ascii="宋体" w:hAnsi="宋体" w:eastAsia="宋体" w:cs="宋体"/>
          <w:sz w:val="24"/>
          <w:szCs w:val="24"/>
          <w:lang w:val="zh-CN" w:eastAsia="zh-CN"/>
        </w:rPr>
        <w:t>投标人中标后分包，应承担相应的法律责任。</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联合体投标</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两个及以上供应商可以组成一个联合体，以一个投标人的身份共同参与投标。</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采取联合体形式投标的，联合体各方均应当符合政府采购法第二十二条</w:t>
      </w:r>
      <w:r>
        <w:rPr>
          <w:rFonts w:hint="eastAsia" w:ascii="宋体" w:hAnsi="宋体" w:eastAsia="宋体" w:cs="宋体"/>
          <w:b/>
          <w:sz w:val="24"/>
          <w:szCs w:val="24"/>
          <w:lang w:val="zh-CN"/>
        </w:rPr>
        <w:t>第一款</w:t>
      </w:r>
      <w:r>
        <w:rPr>
          <w:rFonts w:hint="eastAsia" w:ascii="宋体" w:hAnsi="宋体" w:eastAsia="宋体" w:cs="宋体"/>
          <w:sz w:val="24"/>
          <w:szCs w:val="24"/>
          <w:lang w:val="zh-CN"/>
        </w:rPr>
        <w:t>规定的条件。</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联合体各方之间应签订联合投标协议，明确约定联合体主体及各方承担的工作和相应的责任，其投标文件中应提供联合投标协议并约定联合体各方合同份额占合同总金额的比例。</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以联合体形式参加政府采购活动的，联合体各方不得再单独参加或者与其他供应商另外组成联合体参加同一合同项下的政府采购活动。</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采取联合体形式投标的，其投标文件应由联合体所有成员或其各自正式授权的代表签署（盖章），以便对所有成员作为整体及作为个体均具有法律约束力。</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采取联合体形式投标的，项目评审时只对联合体主体进行评议。</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联合体中标的，联合体各方应当共同与采购人签订采购合同，</w:t>
      </w:r>
      <w:r>
        <w:rPr>
          <w:rFonts w:hint="eastAsia" w:ascii="宋体" w:hAnsi="宋体" w:eastAsia="宋体" w:cs="宋体"/>
          <w:sz w:val="24"/>
        </w:rPr>
        <w:t>就采购合同约定的事项对采购人承担连带责任，</w:t>
      </w:r>
      <w:r>
        <w:rPr>
          <w:rFonts w:hint="eastAsia" w:ascii="宋体" w:hAnsi="宋体" w:eastAsia="宋体" w:cs="宋体"/>
          <w:sz w:val="24"/>
          <w:szCs w:val="24"/>
          <w:lang w:val="zh-CN"/>
        </w:rPr>
        <w:t>联合体主体单位负主要责任。</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联合体中有同类资质的供应商按照联合体分工承担相同工作的，应当按照资质等级较低的供应商确定资质等级。</w:t>
      </w:r>
    </w:p>
    <w:p>
      <w:pPr>
        <w:pageBreakBefore w:val="0"/>
        <w:numPr>
          <w:ilvl w:val="0"/>
          <w:numId w:val="18"/>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招标文件第一章“</w:t>
      </w:r>
      <w:r>
        <w:rPr>
          <w:rFonts w:hint="eastAsia" w:ascii="宋体" w:hAnsi="宋体" w:eastAsia="宋体" w:cs="宋体"/>
          <w:sz w:val="24"/>
          <w:szCs w:val="24"/>
        </w:rPr>
        <w:t>项目基本情况</w:t>
      </w:r>
      <w:r>
        <w:rPr>
          <w:rFonts w:hint="eastAsia" w:ascii="宋体" w:hAnsi="宋体" w:eastAsia="宋体" w:cs="宋体"/>
          <w:sz w:val="24"/>
          <w:szCs w:val="24"/>
          <w:lang w:val="zh-CN"/>
        </w:rPr>
        <w:t>”中未载明是否接受联合体投标的，视同接受。</w:t>
      </w:r>
    </w:p>
    <w:p>
      <w:pPr>
        <w:pageBreakBefore w:val="0"/>
        <w:numPr>
          <w:ilvl w:val="0"/>
          <w:numId w:val="18"/>
        </w:numPr>
        <w:kinsoku/>
        <w:wordWrap/>
        <w:overflowPunct/>
        <w:topLinePunct w:val="0"/>
        <w:autoSpaceDE/>
        <w:autoSpaceDN/>
        <w:bidi w:val="0"/>
        <w:adjustRightInd/>
        <w:snapToGrid/>
        <w:spacing w:line="360" w:lineRule="auto"/>
        <w:ind w:left="728" w:hanging="728"/>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以联合体形式参与投标的，其价格扣除相关规定详见第五章“评标方法、程序及标准”。</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资格证明文件</w:t>
      </w:r>
    </w:p>
    <w:p>
      <w:pPr>
        <w:pageBreakBefore w:val="0"/>
        <w:numPr>
          <w:ilvl w:val="0"/>
          <w:numId w:val="19"/>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投标人应按本节及</w:t>
      </w:r>
      <w:r>
        <w:rPr>
          <w:rFonts w:hint="eastAsia" w:ascii="宋体" w:hAnsi="宋体" w:eastAsia="宋体" w:cs="宋体"/>
          <w:sz w:val="24"/>
          <w:szCs w:val="24"/>
          <w:lang w:val="zh-CN" w:eastAsia="zh-CN"/>
        </w:rPr>
        <w:t>第四章“资格审查方法及</w:t>
      </w:r>
      <w:r>
        <w:rPr>
          <w:rFonts w:hint="eastAsia" w:ascii="宋体" w:hAnsi="宋体" w:eastAsia="宋体" w:cs="宋体"/>
          <w:sz w:val="24"/>
          <w:szCs w:val="24"/>
          <w:lang w:val="zh-CN"/>
        </w:rPr>
        <w:t>标准</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的要求，提供足以证明其符合项目“投标人资格要求”且中标后有能力履行合同的文件，并作为其投标文件的组成部分。</w:t>
      </w:r>
    </w:p>
    <w:p>
      <w:pPr>
        <w:pageBreakBefore w:val="0"/>
        <w:numPr>
          <w:ilvl w:val="0"/>
          <w:numId w:val="19"/>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资格证明文件应真实、合法，并就此承担相应法律责任。</w:t>
      </w:r>
    </w:p>
    <w:p>
      <w:pPr>
        <w:pageBreakBefore w:val="0"/>
        <w:numPr>
          <w:ilvl w:val="0"/>
          <w:numId w:val="19"/>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zh-CN"/>
        </w:rPr>
        <w:t>资格证明文件内容详见</w:t>
      </w:r>
      <w:r>
        <w:rPr>
          <w:rFonts w:hint="eastAsia" w:ascii="宋体" w:hAnsi="宋体" w:eastAsia="宋体" w:cs="宋体"/>
          <w:sz w:val="24"/>
          <w:szCs w:val="24"/>
          <w:lang w:val="zh-CN" w:eastAsia="zh-CN"/>
        </w:rPr>
        <w:t>第四章“资格审查方法及</w:t>
      </w:r>
      <w:r>
        <w:rPr>
          <w:rFonts w:hint="eastAsia" w:ascii="宋体" w:hAnsi="宋体" w:eastAsia="宋体" w:cs="宋体"/>
          <w:sz w:val="24"/>
          <w:szCs w:val="24"/>
          <w:lang w:val="zh-CN"/>
        </w:rPr>
        <w:t>标准</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中资格审查内容</w:t>
      </w:r>
      <w:r>
        <w:rPr>
          <w:rFonts w:hint="eastAsia" w:ascii="宋体" w:hAnsi="宋体" w:eastAsia="宋体" w:cs="宋体"/>
          <w:kern w:val="0"/>
          <w:sz w:val="24"/>
          <w:szCs w:val="24"/>
          <w:lang w:val="zh-CN" w:eastAsia="zh-CN"/>
        </w:rPr>
        <w:t>。</w:t>
      </w:r>
    </w:p>
    <w:p>
      <w:pPr>
        <w:pageBreakBefore w:val="0"/>
        <w:numPr>
          <w:ilvl w:val="0"/>
          <w:numId w:val="19"/>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b/>
          <w:kern w:val="0"/>
          <w:sz w:val="24"/>
          <w:szCs w:val="24"/>
          <w:lang w:val="zh-CN"/>
        </w:rPr>
        <w:t>如采购人组织项目资格预审的，集中采购机构将拒绝未通过资格预审投标人的投标</w:t>
      </w:r>
      <w:r>
        <w:rPr>
          <w:rFonts w:hint="eastAsia" w:ascii="宋体" w:hAnsi="宋体" w:eastAsia="宋体" w:cs="宋体"/>
          <w:kern w:val="0"/>
          <w:sz w:val="24"/>
          <w:szCs w:val="24"/>
          <w:lang w:val="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lang w:val="zh-CN" w:eastAsia="zh-CN"/>
        </w:rPr>
      </w:pPr>
      <w:r>
        <w:rPr>
          <w:rFonts w:hint="eastAsia" w:ascii="宋体" w:hAnsi="宋体" w:eastAsia="宋体" w:cs="宋体"/>
          <w:b/>
          <w:sz w:val="24"/>
          <w:szCs w:val="24"/>
          <w:lang w:val="zh-CN" w:eastAsia="zh-CN"/>
        </w:rPr>
        <w:t>投标保证金</w:t>
      </w:r>
    </w:p>
    <w:p>
      <w:pPr>
        <w:pageBreakBefore w:val="0"/>
        <w:numPr>
          <w:ilvl w:val="0"/>
          <w:numId w:val="20"/>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本项目不收取投标保证金，详见</w:t>
      </w:r>
      <w:r>
        <w:rPr>
          <w:rFonts w:hint="eastAsia" w:ascii="宋体" w:hAnsi="宋体" w:eastAsia="宋体" w:cs="宋体"/>
          <w:sz w:val="24"/>
          <w:szCs w:val="24"/>
          <w:lang w:val="zh-CN" w:eastAsia="zh-CN"/>
        </w:rPr>
        <w:t>本章“投标须知前附表”中</w:t>
      </w:r>
      <w:r>
        <w:rPr>
          <w:rFonts w:hint="eastAsia" w:ascii="宋体" w:hAnsi="宋体" w:eastAsia="宋体" w:cs="宋体"/>
          <w:sz w:val="24"/>
          <w:szCs w:val="24"/>
          <w:lang w:val="zh-CN"/>
        </w:rPr>
        <w:t>的说明</w:t>
      </w:r>
      <w:r>
        <w:rPr>
          <w:rFonts w:hint="eastAsia" w:ascii="宋体" w:hAnsi="宋体" w:eastAsia="宋体" w:cs="宋体"/>
          <w:sz w:val="24"/>
          <w:szCs w:val="24"/>
          <w:lang w:val="zh-CN" w:eastAsia="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投标有效期</w:t>
      </w:r>
    </w:p>
    <w:p>
      <w:pPr>
        <w:pageBreakBefore w:val="0"/>
        <w:numPr>
          <w:ilvl w:val="0"/>
          <w:numId w:val="21"/>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投标有效期详见本章“投标须知前附表”中规定。</w:t>
      </w:r>
      <w:r>
        <w:rPr>
          <w:rFonts w:hint="eastAsia" w:ascii="宋体" w:hAnsi="宋体" w:eastAsia="宋体" w:cs="宋体"/>
          <w:kern w:val="0"/>
          <w:sz w:val="24"/>
          <w:szCs w:val="24"/>
          <w:lang w:val="zh-CN" w:eastAsia="zh-CN"/>
        </w:rPr>
        <w:t>投标文件中承诺的投标有效期应当不少于招标文件中载明的投标有效期</w:t>
      </w:r>
      <w:r>
        <w:rPr>
          <w:rFonts w:hint="eastAsia" w:ascii="宋体" w:hAnsi="宋体" w:eastAsia="宋体" w:cs="宋体"/>
          <w:kern w:val="0"/>
          <w:sz w:val="24"/>
          <w:szCs w:val="24"/>
          <w:lang w:val="zh-CN"/>
        </w:rPr>
        <w:t>。投标有效期不足的，</w:t>
      </w:r>
      <w:r>
        <w:rPr>
          <w:rFonts w:hint="eastAsia" w:ascii="宋体" w:hAnsi="宋体" w:eastAsia="宋体" w:cs="宋体"/>
          <w:sz w:val="24"/>
          <w:szCs w:val="24"/>
          <w:lang w:val="zh-CN"/>
        </w:rPr>
        <w:t>按照</w:t>
      </w:r>
      <w:r>
        <w:rPr>
          <w:rFonts w:hint="eastAsia" w:ascii="宋体" w:hAnsi="宋体" w:eastAsia="宋体" w:cs="宋体"/>
          <w:b/>
          <w:sz w:val="24"/>
          <w:szCs w:val="24"/>
          <w:lang w:val="zh-CN" w:eastAsia="zh-CN"/>
        </w:rPr>
        <w:t>无效投标</w:t>
      </w:r>
      <w:r>
        <w:rPr>
          <w:rFonts w:hint="eastAsia" w:ascii="宋体" w:hAnsi="宋体" w:eastAsia="宋体" w:cs="宋体"/>
          <w:b/>
          <w:sz w:val="24"/>
          <w:szCs w:val="24"/>
          <w:lang w:val="zh-CN"/>
        </w:rPr>
        <w:t>处理。</w:t>
      </w:r>
    </w:p>
    <w:p>
      <w:pPr>
        <w:pageBreakBefore w:val="0"/>
        <w:numPr>
          <w:ilvl w:val="0"/>
          <w:numId w:val="21"/>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特殊情况下，在原投标有效期截止之前，集中采购机构或采购人可要求投标人延长投标有效期。投标人可拒绝</w:t>
      </w:r>
      <w:r>
        <w:rPr>
          <w:rFonts w:hint="eastAsia" w:ascii="宋体" w:hAnsi="宋体" w:eastAsia="宋体" w:cs="宋体"/>
          <w:sz w:val="24"/>
          <w:szCs w:val="24"/>
          <w:lang w:val="zh-CN"/>
        </w:rPr>
        <w:t>集中</w:t>
      </w:r>
      <w:r>
        <w:rPr>
          <w:rFonts w:hint="eastAsia" w:ascii="宋体" w:hAnsi="宋体" w:eastAsia="宋体" w:cs="宋体"/>
          <w:sz w:val="24"/>
          <w:szCs w:val="24"/>
          <w:lang w:val="zh-CN" w:eastAsia="zh-CN"/>
        </w:rPr>
        <w:t>采购机构或采购人的这种要求，但其投标在原投标有效期期满后将不再有效。同意延长投标有效期的投标人不会被要求和允许修正其投标</w:t>
      </w:r>
      <w:r>
        <w:rPr>
          <w:rFonts w:hint="eastAsia" w:ascii="宋体" w:hAnsi="宋体" w:eastAsia="宋体" w:cs="宋体"/>
          <w:sz w:val="24"/>
          <w:szCs w:val="24"/>
          <w:lang w:val="zh-CN"/>
        </w:rPr>
        <w:t>内容</w:t>
      </w:r>
      <w:r>
        <w:rPr>
          <w:rFonts w:hint="eastAsia" w:ascii="宋体" w:hAnsi="宋体" w:eastAsia="宋体" w:cs="宋体"/>
          <w:sz w:val="24"/>
          <w:szCs w:val="24"/>
          <w:lang w:val="zh-CN" w:eastAsia="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t>投标文件的数量和签署</w:t>
      </w:r>
    </w:p>
    <w:p>
      <w:pPr>
        <w:pageBreakBefore w:val="0"/>
        <w:numPr>
          <w:ilvl w:val="0"/>
          <w:numId w:val="22"/>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投标人应</w:t>
      </w:r>
      <w:r>
        <w:rPr>
          <w:rFonts w:hint="eastAsia" w:ascii="宋体" w:hAnsi="宋体" w:eastAsia="宋体" w:cs="宋体"/>
          <w:sz w:val="24"/>
          <w:szCs w:val="24"/>
          <w:lang w:val="zh-CN"/>
        </w:rPr>
        <w:t>按本章“投标须知前附表”中规定的份数要求</w:t>
      </w:r>
      <w:r>
        <w:rPr>
          <w:rFonts w:hint="eastAsia" w:ascii="宋体" w:hAnsi="宋体" w:eastAsia="宋体" w:cs="宋体"/>
          <w:sz w:val="24"/>
          <w:szCs w:val="24"/>
          <w:lang w:val="zh-CN" w:eastAsia="zh-CN"/>
        </w:rPr>
        <w:t>编制投标文件</w:t>
      </w:r>
      <w:r>
        <w:rPr>
          <w:rFonts w:hint="eastAsia" w:ascii="宋体" w:hAnsi="宋体" w:eastAsia="宋体" w:cs="宋体"/>
          <w:sz w:val="24"/>
          <w:szCs w:val="24"/>
          <w:lang w:val="zh-CN"/>
        </w:rPr>
        <w:t>。</w:t>
      </w:r>
    </w:p>
    <w:p>
      <w:pPr>
        <w:pageBreakBefore w:val="0"/>
        <w:numPr>
          <w:ilvl w:val="0"/>
          <w:numId w:val="22"/>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eastAsia="zh-CN"/>
        </w:rPr>
        <w:t>投标文件（</w:t>
      </w:r>
      <w:r>
        <w:rPr>
          <w:rFonts w:hint="eastAsia" w:ascii="宋体" w:hAnsi="宋体" w:eastAsia="宋体" w:cs="宋体"/>
          <w:b/>
          <w:sz w:val="24"/>
          <w:szCs w:val="24"/>
        </w:rPr>
        <w:t>PDF</w:t>
      </w:r>
      <w:r>
        <w:rPr>
          <w:rFonts w:hint="eastAsia" w:ascii="宋体" w:hAnsi="宋体" w:eastAsia="宋体" w:cs="宋体"/>
          <w:b/>
          <w:sz w:val="24"/>
          <w:szCs w:val="24"/>
          <w:lang w:eastAsia="zh-CN"/>
        </w:rPr>
        <w:t>格式）</w:t>
      </w:r>
    </w:p>
    <w:p>
      <w:pPr>
        <w:pageBreakBefore w:val="0"/>
        <w:kinsoku/>
        <w:wordWrap/>
        <w:overflowPunct/>
        <w:topLinePunct w:val="0"/>
        <w:autoSpaceDE/>
        <w:autoSpaceDN/>
        <w:bidi w:val="0"/>
        <w:adjustRightInd/>
        <w:snapToGrid/>
        <w:spacing w:line="360" w:lineRule="auto"/>
        <w:ind w:left="960" w:leftChars="57" w:hanging="840" w:hangingChars="35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19.2.1</w:t>
      </w:r>
      <w:r>
        <w:rPr>
          <w:rFonts w:hint="eastAsia" w:ascii="宋体" w:hAnsi="宋体" w:eastAsia="宋体" w:cs="宋体"/>
          <w:sz w:val="24"/>
          <w:szCs w:val="24"/>
          <w:lang w:val="zh-CN" w:eastAsia="zh-CN"/>
        </w:rPr>
        <w:t>投标文件不区分正</w:t>
      </w:r>
      <w:r>
        <w:rPr>
          <w:rFonts w:hint="eastAsia" w:ascii="宋体" w:hAnsi="宋体" w:eastAsia="宋体" w:cs="宋体"/>
          <w:sz w:val="24"/>
          <w:szCs w:val="24"/>
          <w:lang w:val="zh-CN"/>
        </w:rPr>
        <w:t>、</w:t>
      </w:r>
      <w:r>
        <w:rPr>
          <w:rFonts w:hint="eastAsia" w:ascii="宋体" w:hAnsi="宋体" w:eastAsia="宋体" w:cs="宋体"/>
          <w:sz w:val="24"/>
          <w:szCs w:val="24"/>
          <w:lang w:val="zh-CN" w:eastAsia="zh-CN"/>
        </w:rPr>
        <w:t>副本</w:t>
      </w:r>
      <w:r>
        <w:rPr>
          <w:rFonts w:hint="eastAsia" w:ascii="宋体" w:hAnsi="宋体" w:eastAsia="宋体" w:cs="宋体"/>
          <w:sz w:val="24"/>
          <w:szCs w:val="24"/>
          <w:lang w:val="zh-CN"/>
        </w:rPr>
        <w:t>。投标人</w:t>
      </w:r>
      <w:r>
        <w:rPr>
          <w:rFonts w:hint="eastAsia" w:ascii="宋体" w:hAnsi="宋体" w:eastAsia="宋体" w:cs="宋体"/>
          <w:sz w:val="24"/>
          <w:szCs w:val="24"/>
          <w:lang w:val="zh-CN" w:eastAsia="zh-CN"/>
        </w:rPr>
        <w:t>应使用带电子签章功能的CA锁对投标文件</w:t>
      </w:r>
      <w:r>
        <w:rPr>
          <w:rFonts w:hint="eastAsia" w:ascii="宋体" w:hAnsi="宋体" w:eastAsia="宋体" w:cs="宋体"/>
          <w:sz w:val="24"/>
          <w:szCs w:val="24"/>
          <w:lang w:val="zh-CN"/>
        </w:rPr>
        <w:t>应</w:t>
      </w:r>
      <w:r>
        <w:rPr>
          <w:rFonts w:hint="eastAsia" w:ascii="宋体" w:hAnsi="宋体" w:eastAsia="宋体" w:cs="宋体"/>
          <w:sz w:val="24"/>
          <w:szCs w:val="24"/>
          <w:lang w:val="zh-CN" w:eastAsia="zh-CN"/>
        </w:rPr>
        <w:t>盖章或</w:t>
      </w:r>
      <w:r>
        <w:rPr>
          <w:rFonts w:hint="eastAsia" w:ascii="宋体" w:hAnsi="宋体" w:eastAsia="宋体" w:cs="宋体"/>
          <w:sz w:val="24"/>
          <w:szCs w:val="24"/>
          <w:lang w:val="zh-CN"/>
        </w:rPr>
        <w:t>法定代表人</w:t>
      </w:r>
      <w:r>
        <w:rPr>
          <w:rFonts w:hint="eastAsia" w:ascii="宋体" w:hAnsi="宋体" w:eastAsia="宋体" w:cs="宋体"/>
          <w:sz w:val="24"/>
          <w:szCs w:val="24"/>
          <w:lang w:val="zh-CN" w:eastAsia="zh-CN"/>
        </w:rPr>
        <w:t>签名的部位加盖电子印章（单位电子公章、法定代表人电子人名章）</w:t>
      </w:r>
      <w:r>
        <w:rPr>
          <w:rFonts w:hint="eastAsia" w:ascii="宋体" w:hAnsi="宋体" w:eastAsia="宋体" w:cs="宋体"/>
          <w:sz w:val="24"/>
          <w:szCs w:val="24"/>
          <w:lang w:val="zh-CN"/>
        </w:rPr>
        <w:t>，</w:t>
      </w:r>
      <w:r>
        <w:rPr>
          <w:rFonts w:hint="eastAsia" w:ascii="宋体" w:hAnsi="宋体" w:eastAsia="宋体" w:cs="宋体"/>
          <w:sz w:val="24"/>
          <w:szCs w:val="24"/>
          <w:lang w:val="zh-CN" w:eastAsia="zh-CN"/>
        </w:rPr>
        <w:t>否则</w:t>
      </w:r>
      <w:r>
        <w:rPr>
          <w:rFonts w:hint="eastAsia" w:ascii="宋体" w:hAnsi="宋体" w:eastAsia="宋体" w:cs="宋体"/>
          <w:sz w:val="24"/>
          <w:szCs w:val="24"/>
          <w:lang w:val="zh-CN"/>
        </w:rPr>
        <w:t>按照</w:t>
      </w:r>
      <w:r>
        <w:rPr>
          <w:rFonts w:hint="eastAsia" w:ascii="宋体" w:hAnsi="宋体" w:eastAsia="宋体" w:cs="宋体"/>
          <w:b/>
          <w:sz w:val="24"/>
          <w:szCs w:val="24"/>
          <w:lang w:val="zh-CN" w:eastAsia="zh-CN"/>
        </w:rPr>
        <w:t>无效投标</w:t>
      </w:r>
      <w:r>
        <w:rPr>
          <w:rFonts w:hint="eastAsia" w:ascii="宋体" w:hAnsi="宋体" w:eastAsia="宋体" w:cs="宋体"/>
          <w:b/>
          <w:sz w:val="24"/>
          <w:szCs w:val="24"/>
          <w:lang w:val="zh-CN"/>
        </w:rPr>
        <w:t>处理</w:t>
      </w:r>
      <w:r>
        <w:rPr>
          <w:rFonts w:hint="eastAsia" w:ascii="宋体" w:hAnsi="宋体" w:eastAsia="宋体" w:cs="宋体"/>
          <w:sz w:val="24"/>
          <w:szCs w:val="24"/>
          <w:lang w:val="zh-CN" w:eastAsia="zh-CN"/>
        </w:rPr>
        <w:t>。电子印章与实物印章具有同等法律效力。</w:t>
      </w:r>
    </w:p>
    <w:p>
      <w:pPr>
        <w:pageBreakBefore w:val="0"/>
        <w:kinsoku/>
        <w:wordWrap/>
        <w:overflowPunct/>
        <w:topLinePunct w:val="0"/>
        <w:autoSpaceDE/>
        <w:autoSpaceDN/>
        <w:bidi w:val="0"/>
        <w:adjustRightInd/>
        <w:snapToGrid/>
        <w:spacing w:line="360" w:lineRule="auto"/>
        <w:ind w:left="960" w:leftChars="57" w:hanging="840" w:hangingChars="35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19.2.2投标人</w:t>
      </w:r>
      <w:r>
        <w:rPr>
          <w:rFonts w:hint="eastAsia" w:ascii="宋体" w:hAnsi="宋体" w:eastAsia="宋体" w:cs="宋体"/>
          <w:sz w:val="24"/>
          <w:szCs w:val="24"/>
          <w:lang w:val="zh-CN" w:eastAsia="zh-CN"/>
        </w:rPr>
        <w:t>应首先编制</w:t>
      </w:r>
      <w:r>
        <w:rPr>
          <w:rFonts w:hint="eastAsia" w:ascii="宋体" w:hAnsi="宋体" w:eastAsia="宋体" w:cs="宋体"/>
          <w:sz w:val="24"/>
          <w:szCs w:val="24"/>
          <w:lang w:val="zh-CN"/>
        </w:rPr>
        <w:t>W</w:t>
      </w:r>
      <w:r>
        <w:rPr>
          <w:rFonts w:hint="eastAsia" w:ascii="宋体" w:hAnsi="宋体" w:eastAsia="宋体" w:cs="宋体"/>
          <w:sz w:val="24"/>
          <w:szCs w:val="24"/>
          <w:lang w:val="zh-CN" w:eastAsia="zh-CN"/>
        </w:rPr>
        <w:t>ord格式投标文件，最后通过</w:t>
      </w:r>
      <w:r>
        <w:rPr>
          <w:rFonts w:hint="eastAsia" w:ascii="宋体" w:hAnsi="宋体" w:eastAsia="宋体" w:cs="宋体"/>
          <w:sz w:val="24"/>
          <w:szCs w:val="24"/>
          <w:lang w:val="zh-CN"/>
        </w:rPr>
        <w:t>集中采购机构</w:t>
      </w:r>
      <w:r>
        <w:rPr>
          <w:rFonts w:hint="eastAsia" w:ascii="宋体" w:hAnsi="宋体" w:eastAsia="宋体" w:cs="宋体"/>
          <w:sz w:val="24"/>
          <w:szCs w:val="24"/>
          <w:lang w:val="zh-CN" w:eastAsia="zh-CN"/>
        </w:rPr>
        <w:t>电子采购平台的文件签章菜单的标书签章功能转换为</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格式（对于页数较多的投标文件，转换完成后</w:t>
      </w:r>
      <w:r>
        <w:rPr>
          <w:rFonts w:hint="eastAsia" w:ascii="宋体" w:hAnsi="宋体" w:eastAsia="宋体" w:cs="宋体"/>
          <w:sz w:val="24"/>
          <w:szCs w:val="24"/>
          <w:lang w:val="zh-CN"/>
        </w:rPr>
        <w:t>应</w:t>
      </w:r>
      <w:r>
        <w:rPr>
          <w:rFonts w:hint="eastAsia" w:ascii="宋体" w:hAnsi="宋体" w:eastAsia="宋体" w:cs="宋体"/>
          <w:sz w:val="24"/>
          <w:szCs w:val="24"/>
          <w:lang w:val="zh-CN" w:eastAsia="zh-CN"/>
        </w:rPr>
        <w:t>自行检查总页数是否正确是否存在丢失页数情况或者自行使用其他</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转换工具转换），之后通过签章功能在</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文件上加盖电子印章并保存到本地计算机，加盖了电子印章的</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文件即为最终的投标文件，</w:t>
      </w:r>
      <w:r>
        <w:rPr>
          <w:rFonts w:hint="eastAsia" w:ascii="宋体" w:hAnsi="宋体" w:eastAsia="宋体" w:cs="宋体"/>
          <w:sz w:val="24"/>
          <w:szCs w:val="24"/>
          <w:lang w:val="zh-CN"/>
        </w:rPr>
        <w:t>投标人可</w:t>
      </w:r>
      <w:r>
        <w:rPr>
          <w:rFonts w:hint="eastAsia" w:ascii="宋体" w:hAnsi="宋体" w:eastAsia="宋体" w:cs="宋体"/>
          <w:sz w:val="24"/>
          <w:szCs w:val="24"/>
          <w:lang w:val="zh-CN" w:eastAsia="zh-CN"/>
        </w:rPr>
        <w:t>使用投标须知前附表推荐的</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软件自行确认加盖了电子印章的</w:t>
      </w:r>
      <w:r>
        <w:rPr>
          <w:rFonts w:hint="eastAsia" w:ascii="宋体" w:hAnsi="宋体" w:eastAsia="宋体" w:cs="宋体"/>
          <w:sz w:val="24"/>
          <w:szCs w:val="24"/>
          <w:lang w:val="zh-CN"/>
        </w:rPr>
        <w:t>PDF</w:t>
      </w:r>
      <w:r>
        <w:rPr>
          <w:rFonts w:hint="eastAsia" w:ascii="宋体" w:hAnsi="宋体" w:eastAsia="宋体" w:cs="宋体"/>
          <w:sz w:val="24"/>
          <w:szCs w:val="24"/>
          <w:lang w:val="zh-CN" w:eastAsia="zh-CN"/>
        </w:rPr>
        <w:t>文件是否可以正常打开。</w:t>
      </w:r>
    </w:p>
    <w:p>
      <w:pPr>
        <w:pageBreakBefore w:val="0"/>
        <w:numPr>
          <w:ilvl w:val="0"/>
          <w:numId w:val="22"/>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eastAsia="zh-CN"/>
        </w:rPr>
        <w:t>投标</w:t>
      </w:r>
      <w:r>
        <w:rPr>
          <w:rFonts w:hint="eastAsia" w:ascii="宋体" w:hAnsi="宋体" w:eastAsia="宋体" w:cs="宋体"/>
          <w:b/>
          <w:sz w:val="24"/>
          <w:szCs w:val="24"/>
        </w:rPr>
        <w:t>数据</w:t>
      </w:r>
      <w:r>
        <w:rPr>
          <w:rFonts w:hint="eastAsia" w:ascii="宋体" w:hAnsi="宋体" w:eastAsia="宋体" w:cs="宋体"/>
          <w:b/>
          <w:sz w:val="24"/>
          <w:szCs w:val="24"/>
          <w:lang w:eastAsia="zh-CN"/>
        </w:rPr>
        <w:t>文件（</w:t>
      </w:r>
      <w:r>
        <w:rPr>
          <w:rFonts w:hint="eastAsia" w:ascii="宋体" w:hAnsi="宋体" w:eastAsia="宋体" w:cs="宋体"/>
          <w:b/>
          <w:sz w:val="24"/>
          <w:szCs w:val="24"/>
        </w:rPr>
        <w:t>Excel</w:t>
      </w:r>
      <w:r>
        <w:rPr>
          <w:rFonts w:hint="eastAsia" w:ascii="宋体" w:hAnsi="宋体" w:eastAsia="宋体" w:cs="宋体"/>
          <w:b/>
          <w:sz w:val="24"/>
          <w:szCs w:val="24"/>
          <w:lang w:eastAsia="zh-CN"/>
        </w:rPr>
        <w:t>格式）</w:t>
      </w:r>
    </w:p>
    <w:p>
      <w:pPr>
        <w:pageBreakBefore w:val="0"/>
        <w:kinsoku/>
        <w:wordWrap/>
        <w:overflowPunct/>
        <w:topLinePunct w:val="0"/>
        <w:autoSpaceDE/>
        <w:autoSpaceDN/>
        <w:bidi w:val="0"/>
        <w:adjustRightInd/>
        <w:snapToGrid/>
        <w:spacing w:line="360" w:lineRule="auto"/>
        <w:ind w:left="960" w:leftChars="57" w:hanging="840" w:hangingChars="35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19.3.1</w:t>
      </w:r>
      <w:r>
        <w:rPr>
          <w:rFonts w:hint="eastAsia" w:ascii="宋体" w:hAnsi="宋体" w:eastAsia="宋体" w:cs="宋体"/>
          <w:sz w:val="24"/>
          <w:szCs w:val="24"/>
          <w:lang w:val="zh-CN"/>
        </w:rPr>
        <w:t>投标人</w:t>
      </w:r>
      <w:r>
        <w:rPr>
          <w:rFonts w:hint="eastAsia" w:ascii="宋体" w:hAnsi="宋体" w:eastAsia="宋体" w:cs="宋体"/>
          <w:sz w:val="24"/>
          <w:szCs w:val="24"/>
          <w:lang w:val="zh-CN" w:eastAsia="zh-CN"/>
        </w:rPr>
        <w:t>将填写完毕的数据文件，通过</w:t>
      </w:r>
      <w:r>
        <w:rPr>
          <w:rFonts w:hint="eastAsia" w:ascii="宋体" w:hAnsi="宋体" w:eastAsia="宋体" w:cs="宋体"/>
          <w:sz w:val="24"/>
          <w:szCs w:val="24"/>
          <w:lang w:val="zh-CN"/>
        </w:rPr>
        <w:t>集中采购机构</w:t>
      </w:r>
      <w:r>
        <w:rPr>
          <w:rFonts w:hint="eastAsia" w:ascii="宋体" w:hAnsi="宋体" w:eastAsia="宋体" w:cs="宋体"/>
          <w:sz w:val="24"/>
          <w:szCs w:val="24"/>
          <w:lang w:val="zh-CN" w:eastAsia="zh-CN"/>
        </w:rPr>
        <w:t>电子采购平台的文件签章菜单的数据签章功能加盖电子印章并保存到本地计算机，加盖了电子印章的文件即为最终的数据文件。</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kern w:val="0"/>
          <w:sz w:val="24"/>
          <w:szCs w:val="24"/>
          <w:lang w:val="zh-CN"/>
        </w:rPr>
      </w:pPr>
      <w:r>
        <w:rPr>
          <w:rFonts w:hint="eastAsia" w:ascii="宋体" w:hAnsi="宋体" w:eastAsia="宋体" w:cs="宋体"/>
          <w:b/>
          <w:sz w:val="24"/>
          <w:szCs w:val="20"/>
          <w:lang w:val="zh-CN" w:eastAsia="zh-CN"/>
        </w:rPr>
        <w:t>投标</w:t>
      </w:r>
      <w:r>
        <w:rPr>
          <w:rFonts w:hint="eastAsia" w:ascii="宋体" w:hAnsi="宋体" w:eastAsia="宋体" w:cs="宋体"/>
          <w:b/>
          <w:sz w:val="24"/>
          <w:szCs w:val="20"/>
          <w:lang w:val="zh-CN"/>
        </w:rPr>
        <w:t>文件递交</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
          <w:kern w:val="0"/>
          <w:sz w:val="24"/>
          <w:szCs w:val="24"/>
          <w:lang w:val="zh-CN"/>
        </w:rPr>
      </w:pPr>
      <w:r>
        <w:rPr>
          <w:rFonts w:hint="eastAsia" w:ascii="宋体" w:hAnsi="宋体" w:eastAsia="宋体" w:cs="宋体"/>
          <w:kern w:val="0"/>
          <w:sz w:val="24"/>
          <w:szCs w:val="24"/>
        </w:rPr>
        <w:t>投标人应在</w:t>
      </w:r>
      <w:r>
        <w:rPr>
          <w:rFonts w:hint="eastAsia" w:ascii="宋体" w:hAnsi="宋体" w:eastAsia="宋体" w:cs="宋体"/>
          <w:sz w:val="24"/>
          <w:szCs w:val="24"/>
          <w:lang w:val="zh-CN" w:eastAsia="zh-CN"/>
        </w:rPr>
        <w:t>本章“投标须知前附表”中</w:t>
      </w:r>
      <w:r>
        <w:rPr>
          <w:rFonts w:hint="eastAsia" w:ascii="宋体" w:hAnsi="宋体" w:eastAsia="宋体" w:cs="宋体"/>
          <w:sz w:val="24"/>
          <w:szCs w:val="24"/>
          <w:lang w:val="zh-CN"/>
        </w:rPr>
        <w:t>规定</w:t>
      </w:r>
      <w:r>
        <w:rPr>
          <w:rFonts w:hint="eastAsia" w:ascii="宋体" w:hAnsi="宋体" w:eastAsia="宋体" w:cs="宋体"/>
          <w:kern w:val="0"/>
          <w:sz w:val="24"/>
          <w:szCs w:val="24"/>
        </w:rPr>
        <w:t>的时间前网上递交投标文件（</w:t>
      </w:r>
      <w:r>
        <w:rPr>
          <w:rFonts w:hint="eastAsia" w:ascii="宋体" w:hAnsi="宋体" w:eastAsia="宋体" w:cs="宋体"/>
          <w:sz w:val="24"/>
          <w:szCs w:val="24"/>
          <w:lang w:eastAsia="zh-CN"/>
        </w:rPr>
        <w:t>投标文件</w:t>
      </w:r>
      <w:r>
        <w:rPr>
          <w:rFonts w:hint="eastAsia" w:ascii="宋体" w:hAnsi="宋体" w:eastAsia="宋体" w:cs="宋体"/>
          <w:kern w:val="0"/>
          <w:sz w:val="24"/>
          <w:szCs w:val="24"/>
        </w:rPr>
        <w:t>PDF格式、投标数据文件</w:t>
      </w:r>
      <w:r>
        <w:rPr>
          <w:rFonts w:hint="eastAsia" w:ascii="宋体" w:hAnsi="宋体" w:eastAsia="宋体" w:cs="宋体"/>
          <w:sz w:val="24"/>
          <w:szCs w:val="24"/>
        </w:rPr>
        <w:t>Excel</w:t>
      </w:r>
      <w:r>
        <w:rPr>
          <w:rFonts w:hint="eastAsia" w:ascii="宋体" w:hAnsi="宋体" w:eastAsia="宋体" w:cs="宋体"/>
          <w:sz w:val="24"/>
          <w:szCs w:val="24"/>
          <w:lang w:eastAsia="zh-CN"/>
        </w:rPr>
        <w:t>格式</w:t>
      </w:r>
      <w:r>
        <w:rPr>
          <w:rFonts w:hint="eastAsia" w:ascii="宋体" w:hAnsi="宋体" w:eastAsia="宋体" w:cs="宋体"/>
          <w:kern w:val="0"/>
          <w:sz w:val="24"/>
          <w:szCs w:val="24"/>
        </w:rPr>
        <w:t>）。投标人应充分评估集中同时投标带来的网络影响，尽量避开投标高峰时间，错峰进行电子投标，投标是否成功以集中采购机构电子采购平台的具体显示为准</w:t>
      </w:r>
      <w:r>
        <w:rPr>
          <w:rFonts w:hint="eastAsia" w:ascii="宋体" w:hAnsi="宋体" w:eastAsia="宋体" w:cs="宋体"/>
          <w:b/>
          <w:kern w:val="0"/>
          <w:sz w:val="24"/>
          <w:szCs w:val="24"/>
        </w:rPr>
        <w:t>，</w:t>
      </w:r>
      <w:r>
        <w:rPr>
          <w:rFonts w:hint="eastAsia" w:ascii="宋体" w:hAnsi="宋体" w:eastAsia="宋体" w:cs="宋体"/>
          <w:kern w:val="0"/>
          <w:sz w:val="24"/>
          <w:szCs w:val="24"/>
        </w:rPr>
        <w:t>系统以收到投标人发出的递交指令的时间作为其投标时间，如该时间超过投标截止时间，</w:t>
      </w:r>
      <w:r>
        <w:rPr>
          <w:rFonts w:hint="eastAsia" w:ascii="宋体" w:hAnsi="宋体" w:eastAsia="宋体" w:cs="宋体"/>
          <w:b/>
          <w:kern w:val="0"/>
          <w:sz w:val="24"/>
          <w:szCs w:val="24"/>
          <w:lang w:val="zh-CN"/>
        </w:rPr>
        <w:t>集中采购机构拒收逾期递交的投标文件</w:t>
      </w:r>
      <w:r>
        <w:rPr>
          <w:rFonts w:hint="eastAsia" w:ascii="宋体" w:hAnsi="宋体" w:eastAsia="宋体" w:cs="宋体"/>
          <w:kern w:val="0"/>
          <w:sz w:val="24"/>
          <w:szCs w:val="24"/>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集中</w:t>
      </w:r>
      <w:r>
        <w:rPr>
          <w:rFonts w:hint="eastAsia" w:ascii="宋体" w:hAnsi="宋体" w:eastAsia="宋体" w:cs="宋体"/>
          <w:kern w:val="0"/>
          <w:sz w:val="24"/>
          <w:szCs w:val="24"/>
          <w:lang w:val="zh-CN" w:eastAsia="zh-CN"/>
        </w:rPr>
        <w:t>采购机构</w:t>
      </w:r>
      <w:r>
        <w:rPr>
          <w:rFonts w:hint="eastAsia" w:ascii="宋体" w:hAnsi="宋体" w:eastAsia="宋体" w:cs="宋体"/>
          <w:kern w:val="0"/>
          <w:sz w:val="24"/>
          <w:szCs w:val="24"/>
        </w:rPr>
        <w:t>电子采购平台</w:t>
      </w:r>
      <w:r>
        <w:rPr>
          <w:rFonts w:hint="eastAsia" w:ascii="宋体" w:hAnsi="宋体" w:eastAsia="宋体" w:cs="宋体"/>
          <w:kern w:val="0"/>
          <w:sz w:val="24"/>
          <w:szCs w:val="24"/>
          <w:lang w:val="zh-CN" w:eastAsia="zh-CN"/>
        </w:rPr>
        <w:t>收到投标文件后，</w:t>
      </w:r>
      <w:r>
        <w:rPr>
          <w:rFonts w:hint="eastAsia" w:ascii="宋体" w:hAnsi="宋体" w:eastAsia="宋体" w:cs="宋体"/>
          <w:kern w:val="0"/>
          <w:sz w:val="24"/>
          <w:szCs w:val="24"/>
          <w:lang w:val="zh-CN"/>
        </w:rPr>
        <w:t>将</w:t>
      </w:r>
      <w:r>
        <w:rPr>
          <w:rFonts w:hint="eastAsia" w:ascii="宋体" w:hAnsi="宋体" w:eastAsia="宋体" w:cs="宋体"/>
          <w:kern w:val="0"/>
          <w:sz w:val="24"/>
          <w:szCs w:val="24"/>
          <w:lang w:val="zh-CN" w:eastAsia="zh-CN"/>
        </w:rPr>
        <w:t>向投标人出具签收回执。</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rPr>
        <w:t>投标人应将在集中采购机构电子采购平台上递交的未加密的投标文件谨慎保存以便启动应急开标程序时使用。</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trike/>
          <w:sz w:val="24"/>
          <w:szCs w:val="20"/>
          <w:lang w:val="zh-CN"/>
        </w:rPr>
      </w:pPr>
      <w:r>
        <w:rPr>
          <w:rFonts w:hint="eastAsia" w:ascii="宋体" w:hAnsi="宋体" w:eastAsia="宋体" w:cs="宋体"/>
          <w:b/>
          <w:sz w:val="24"/>
          <w:szCs w:val="20"/>
          <w:lang w:val="zh-CN" w:eastAsia="zh-CN"/>
        </w:rPr>
        <w:t>投标文件的修改和撤回</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投标人在投标截止时间前，可以对所递交的投标文件进行补充、修改或者撤回。补充、修改的内容应当按照招标文件要求签署、盖章后，作为投标文件的组成部分。</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投标有效期内投标人不得撤销其投标文件。</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1" w:name="_Toc14644"/>
      <w:r>
        <w:rPr>
          <w:rFonts w:hint="eastAsia" w:ascii="宋体" w:hAnsi="宋体" w:eastAsia="宋体" w:cs="宋体"/>
          <w:bCs w:val="0"/>
          <w:lang w:val="zh-CN" w:eastAsia="zh-CN"/>
        </w:rPr>
        <w:t>开标与评标</w:t>
      </w:r>
      <w:bookmarkEnd w:id="21"/>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rPr>
      </w:pPr>
      <w:r>
        <w:rPr>
          <w:rFonts w:hint="eastAsia" w:ascii="宋体" w:hAnsi="宋体" w:eastAsia="宋体" w:cs="宋体"/>
          <w:b/>
          <w:sz w:val="24"/>
          <w:szCs w:val="20"/>
          <w:lang w:val="zh-CN" w:eastAsia="zh-CN"/>
        </w:rPr>
        <w:t>开标</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集中采购机构在第一章“投标邀请书”中约定的日期、时间和地点组织公开开标。</w:t>
      </w:r>
      <w:r>
        <w:rPr>
          <w:rFonts w:hint="eastAsia" w:ascii="宋体" w:hAnsi="宋体" w:eastAsia="宋体" w:cs="宋体"/>
          <w:b/>
          <w:sz w:val="24"/>
          <w:szCs w:val="20"/>
          <w:lang w:val="zh-CN"/>
        </w:rPr>
        <w:t>递交投标文件截止时间前，</w:t>
      </w:r>
      <w:r>
        <w:rPr>
          <w:rFonts w:hint="eastAsia" w:ascii="宋体" w:hAnsi="宋体" w:eastAsia="宋体" w:cs="宋体"/>
          <w:sz w:val="24"/>
          <w:szCs w:val="20"/>
          <w:lang w:val="zh-CN"/>
        </w:rPr>
        <w:t>投标人应登录集中采购机构电子采购平台</w:t>
      </w:r>
      <w:r>
        <w:rPr>
          <w:rFonts w:hint="eastAsia" w:ascii="宋体" w:hAnsi="宋体" w:eastAsia="宋体" w:cs="宋体"/>
          <w:b/>
          <w:sz w:val="24"/>
          <w:szCs w:val="20"/>
          <w:lang w:val="zh-CN"/>
        </w:rPr>
        <w:t>完成项目签到</w:t>
      </w:r>
      <w:r>
        <w:rPr>
          <w:rFonts w:hint="eastAsia" w:ascii="宋体" w:hAnsi="宋体" w:eastAsia="宋体" w:cs="宋体"/>
          <w:sz w:val="24"/>
          <w:szCs w:val="20"/>
          <w:lang w:val="zh-CN"/>
        </w:rPr>
        <w:t>。</w:t>
      </w:r>
      <w:r>
        <w:rPr>
          <w:rFonts w:hint="eastAsia" w:ascii="宋体" w:hAnsi="宋体" w:eastAsia="宋体" w:cs="宋体"/>
          <w:sz w:val="24"/>
          <w:szCs w:val="20"/>
        </w:rPr>
        <w:t>递交投标文件截止时间后，工作人员启动开始解密指令，投标人开始输入解密密码，解密时间（无特殊情况</w:t>
      </w:r>
      <w:r>
        <w:rPr>
          <w:rFonts w:hint="eastAsia" w:ascii="宋体" w:hAnsi="宋体" w:eastAsia="宋体" w:cs="宋体"/>
          <w:b/>
          <w:sz w:val="24"/>
          <w:szCs w:val="20"/>
        </w:rPr>
        <w:t>30分钟内</w:t>
      </w:r>
      <w:r>
        <w:rPr>
          <w:rFonts w:hint="eastAsia" w:ascii="宋体" w:hAnsi="宋体" w:eastAsia="宋体" w:cs="宋体"/>
          <w:sz w:val="24"/>
          <w:szCs w:val="20"/>
        </w:rPr>
        <w:t>）到后工作人员启动停止解密指令。停止解密后电子采购平台将自动提取各投标人投标文件中的相关数据并进行公开报价。</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rPr>
      </w:pPr>
      <w:r>
        <w:rPr>
          <w:rFonts w:hint="eastAsia" w:ascii="宋体" w:hAnsi="宋体" w:eastAsia="宋体" w:cs="宋体"/>
          <w:sz w:val="24"/>
          <w:szCs w:val="20"/>
        </w:rPr>
        <w:t>开标过程由集中采购机构电子采购平台自动记录，公开报价后形成开标一览表并由各投标人代表和相关工作人员签字或盖章确认，远程参加开标或到现场参加开标的投标人应及时关注开标过程，查看开标结果并在开标一览表上进行电子签署。若投标人不进行相关签署，将被视为其对开标一览表中所载内容无疑</w:t>
      </w:r>
      <w:r>
        <w:rPr>
          <w:rFonts w:hint="eastAsia" w:ascii="宋体" w:hAnsi="宋体" w:eastAsia="宋体" w:cs="宋体"/>
          <w:sz w:val="24"/>
          <w:szCs w:val="20"/>
          <w:lang w:val="zh-CN"/>
        </w:rPr>
        <w:t>义</w:t>
      </w:r>
      <w:r>
        <w:rPr>
          <w:rFonts w:hint="eastAsia" w:ascii="宋体" w:hAnsi="宋体" w:eastAsia="宋体" w:cs="宋体"/>
          <w:sz w:val="24"/>
          <w:szCs w:val="20"/>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rPr>
        <w:t>投标人可远程参加开标或到集中采购机构现场参加开标。现场参加开标应携带CA锁和笔记本电脑（操作系统：Windows 7及以上版本），以便线上进行开标操作。远程开标操作包含：解密、公开报价确认。投标人可加盖CA锁中的法定代表人电子人名章以代替授权代表进行签字。</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rPr>
        <w:t>投标人若忘记或输入密码错误（5次输入机会）的、</w:t>
      </w:r>
      <w:r>
        <w:rPr>
          <w:rFonts w:hint="eastAsia" w:ascii="宋体" w:hAnsi="宋体" w:eastAsia="宋体" w:cs="宋体"/>
          <w:b/>
          <w:sz w:val="24"/>
          <w:szCs w:val="20"/>
        </w:rPr>
        <w:t>未能按时完成解密的</w:t>
      </w:r>
      <w:r>
        <w:rPr>
          <w:rFonts w:hint="eastAsia" w:ascii="宋体" w:hAnsi="宋体" w:eastAsia="宋体" w:cs="宋体"/>
          <w:sz w:val="24"/>
          <w:szCs w:val="20"/>
        </w:rPr>
        <w:t>、其投标文件填写或盖章不规范等导致系统无法解析的、上传的投标文件为损坏的、无法正常打开投标文件（以本章“投标须知前附表”推荐的pdf软件判定为准）的，</w:t>
      </w:r>
      <w:r>
        <w:rPr>
          <w:rFonts w:hint="eastAsia" w:ascii="宋体" w:hAnsi="宋体" w:eastAsia="宋体" w:cs="宋体"/>
          <w:kern w:val="0"/>
          <w:sz w:val="24"/>
          <w:szCs w:val="24"/>
          <w:lang w:val="zh-CN"/>
        </w:rPr>
        <w:t>其投标将被视为</w:t>
      </w:r>
      <w:r>
        <w:rPr>
          <w:rFonts w:hint="eastAsia" w:ascii="宋体" w:hAnsi="宋体" w:eastAsia="宋体" w:cs="宋体"/>
          <w:b/>
          <w:kern w:val="0"/>
          <w:sz w:val="24"/>
          <w:szCs w:val="24"/>
          <w:lang w:val="zh-CN"/>
        </w:rPr>
        <w:t>无效投标</w:t>
      </w:r>
      <w:r>
        <w:rPr>
          <w:rFonts w:hint="eastAsia" w:ascii="宋体" w:hAnsi="宋体" w:eastAsia="宋体" w:cs="宋体"/>
          <w:kern w:val="0"/>
          <w:sz w:val="24"/>
          <w:szCs w:val="24"/>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投标人代表对开标过程和开标记录有疑义，以及认为采购人、集中采购机构相关工作人员有需要回避的情形的，应提出询问或者回避申请。采购人、集中采购机构将及时处理投标人代表提出的询问或者回避申请。</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b/>
          <w:bCs/>
          <w:sz w:val="24"/>
          <w:szCs w:val="20"/>
        </w:rPr>
        <w:t>应急开标程序</w:t>
      </w:r>
    </w:p>
    <w:p>
      <w:pPr>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22.6.1</w:t>
      </w:r>
      <w:r>
        <w:rPr>
          <w:rFonts w:hint="eastAsia" w:ascii="宋体" w:hAnsi="宋体" w:eastAsia="宋体" w:cs="宋体"/>
          <w:bCs/>
          <w:sz w:val="24"/>
          <w:szCs w:val="20"/>
        </w:rPr>
        <w:t>电子开标过程中如出现下列情况，导致系统无法正常运行，可启动应急开标程序：</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1）平台</w:t>
      </w:r>
      <w:r>
        <w:rPr>
          <w:rFonts w:hint="eastAsia" w:ascii="宋体" w:hAnsi="宋体" w:eastAsia="宋体" w:cs="宋体"/>
          <w:sz w:val="24"/>
          <w:szCs w:val="20"/>
        </w:rPr>
        <w:t>系统服务器发生故障，无法访问或无法使用系统；</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2）系统的软件或数据库出现错误，不能进行正常操作；</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3）系统发现有安全漏洞，有潜在的泄密危险；</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4）病毒发作或受到外来病毒的攻击；</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5）其他无法保证开标过程公平、公正和信息安全的情形。</w:t>
      </w:r>
    </w:p>
    <w:p>
      <w:pPr>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22.6.2</w:t>
      </w:r>
      <w:r>
        <w:rPr>
          <w:rFonts w:hint="eastAsia" w:ascii="宋体" w:hAnsi="宋体" w:eastAsia="宋体" w:cs="宋体"/>
          <w:sz w:val="24"/>
          <w:szCs w:val="20"/>
        </w:rPr>
        <w:t>可采取的应急措施包括：</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1）</w:t>
      </w:r>
      <w:r>
        <w:rPr>
          <w:rFonts w:hint="eastAsia" w:ascii="宋体" w:hAnsi="宋体" w:eastAsia="宋体" w:cs="宋体"/>
          <w:sz w:val="24"/>
          <w:szCs w:val="20"/>
        </w:rPr>
        <w:t>对未在平台系统中开标的可暂停开标；</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 xml:space="preserve">   2）</w:t>
      </w:r>
      <w:r>
        <w:rPr>
          <w:rFonts w:hint="eastAsia" w:ascii="宋体" w:hAnsi="宋体" w:eastAsia="宋体" w:cs="宋体"/>
          <w:sz w:val="24"/>
          <w:szCs w:val="20"/>
        </w:rPr>
        <w:t>对已在平台系统中开标的应立即停止；</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 xml:space="preserve">   3）</w:t>
      </w:r>
      <w:r>
        <w:rPr>
          <w:rFonts w:hint="eastAsia" w:ascii="宋体" w:hAnsi="宋体" w:eastAsia="宋体" w:cs="宋体"/>
          <w:sz w:val="24"/>
          <w:szCs w:val="20"/>
        </w:rPr>
        <w:t>等待系统恢复正常后再组织进行开标。</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 xml:space="preserve">   4）</w:t>
      </w:r>
      <w:r>
        <w:rPr>
          <w:rFonts w:hint="eastAsia" w:ascii="宋体" w:hAnsi="宋体" w:eastAsia="宋体" w:cs="宋体"/>
          <w:sz w:val="24"/>
          <w:szCs w:val="20"/>
        </w:rPr>
        <w:t>对解密环节出错（因平台系统故障原因导致）的投标人，通过平台系统的备案功能进行文件上传备案，对备案文件与网上递交的电子投标文件不一致（系统通过数字签名进行验证）或备案文件未按照招标文件的要求进行编制、签署导致系统无法备案的投标人按</w:t>
      </w:r>
      <w:r>
        <w:rPr>
          <w:rFonts w:hint="eastAsia" w:ascii="宋体" w:hAnsi="宋体" w:eastAsia="宋体" w:cs="宋体"/>
          <w:b/>
          <w:sz w:val="24"/>
          <w:szCs w:val="20"/>
        </w:rPr>
        <w:t>无效投标处理。</w:t>
      </w:r>
    </w:p>
    <w:p>
      <w:pPr>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b/>
          <w:sz w:val="24"/>
          <w:szCs w:val="20"/>
        </w:rPr>
      </w:pPr>
      <w:r>
        <w:rPr>
          <w:rFonts w:hint="eastAsia" w:ascii="宋体" w:hAnsi="宋体" w:eastAsia="宋体" w:cs="宋体"/>
          <w:sz w:val="24"/>
          <w:szCs w:val="20"/>
          <w:lang w:val="zh-CN"/>
        </w:rPr>
        <w:t>5）</w:t>
      </w:r>
      <w:r>
        <w:rPr>
          <w:rFonts w:hint="eastAsia" w:ascii="宋体" w:hAnsi="宋体" w:eastAsia="宋体" w:cs="宋体"/>
          <w:sz w:val="24"/>
          <w:szCs w:val="20"/>
        </w:rPr>
        <w:t>备案功能故障且系统长时间无法恢复正常的，在采购人代表的监督下可针对所有在平台中已投标的投标人，启用其电子邮件递交的投标文件进行开标，同时开标由线上转为线下，开标、评标均以电子邮件递交的投标文件为准，对未按规定递交或递交的文件未按要求进行编制、签署的投标人其投标按</w:t>
      </w:r>
      <w:r>
        <w:rPr>
          <w:rFonts w:hint="eastAsia" w:ascii="宋体" w:hAnsi="宋体" w:eastAsia="宋体" w:cs="宋体"/>
          <w:b/>
          <w:sz w:val="24"/>
          <w:szCs w:val="20"/>
        </w:rPr>
        <w:t>无效投标处理。</w:t>
      </w:r>
    </w:p>
    <w:p>
      <w:pPr>
        <w:pageBreakBefore w:val="0"/>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22.6.3电子邮件递交规定及流程：</w:t>
      </w:r>
    </w:p>
    <w:p>
      <w:pPr>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0"/>
        </w:rPr>
      </w:pPr>
      <w:r>
        <w:rPr>
          <w:rFonts w:hint="eastAsia" w:ascii="宋体" w:hAnsi="宋体" w:eastAsia="宋体" w:cs="宋体"/>
          <w:sz w:val="24"/>
          <w:szCs w:val="20"/>
        </w:rPr>
        <w:t>1）电子邮件递交规定：</w:t>
      </w:r>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0"/>
        </w:rPr>
      </w:pPr>
      <w:r>
        <w:rPr>
          <w:rFonts w:hint="eastAsia" w:ascii="宋体" w:hAnsi="宋体" w:eastAsia="宋体" w:cs="宋体"/>
          <w:sz w:val="24"/>
          <w:szCs w:val="20"/>
        </w:rPr>
        <w:t>应急开标投标文件接收电子邮箱：</w:t>
      </w:r>
      <w:r>
        <w:rPr>
          <w:rFonts w:hint="eastAsia" w:ascii="宋体" w:hAnsi="宋体" w:cs="宋体"/>
          <w:sz w:val="24"/>
          <w:szCs w:val="24"/>
        </w:rPr>
        <w:t>qjszfcgzx1@vip.126.com</w:t>
      </w:r>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0"/>
        </w:rPr>
      </w:pPr>
      <w:r>
        <w:rPr>
          <w:rFonts w:hint="eastAsia" w:ascii="宋体" w:hAnsi="宋体" w:eastAsia="宋体" w:cs="宋体"/>
          <w:sz w:val="24"/>
          <w:szCs w:val="20"/>
        </w:rPr>
        <w:t>递交时间：开标后40分钟内；</w:t>
      </w:r>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0"/>
        </w:rPr>
      </w:pPr>
      <w:r>
        <w:rPr>
          <w:rFonts w:hint="eastAsia" w:ascii="宋体" w:hAnsi="宋体" w:eastAsia="宋体" w:cs="宋体"/>
          <w:sz w:val="24"/>
          <w:szCs w:val="20"/>
        </w:rPr>
        <w:t>邮件数量：一封；</w:t>
      </w:r>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0"/>
        </w:rPr>
      </w:pPr>
      <w:r>
        <w:rPr>
          <w:rFonts w:hint="eastAsia" w:ascii="宋体" w:hAnsi="宋体" w:eastAsia="宋体" w:cs="宋体"/>
          <w:sz w:val="24"/>
          <w:szCs w:val="20"/>
        </w:rPr>
        <w:t>邮件主题：项目编号、投标人名称；</w:t>
      </w:r>
    </w:p>
    <w:p>
      <w:pPr>
        <w:pageBreakBefore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eastAsia="宋体" w:cs="宋体"/>
          <w:sz w:val="24"/>
          <w:szCs w:val="20"/>
        </w:rPr>
      </w:pPr>
      <w:r>
        <w:rPr>
          <w:rFonts w:hint="eastAsia" w:ascii="宋体" w:hAnsi="宋体" w:eastAsia="宋体" w:cs="宋体"/>
          <w:sz w:val="24"/>
          <w:szCs w:val="20"/>
        </w:rPr>
        <w:t>邮件内容：附件含项目的所有所投包段，每个包段含已盖章且未加密的投标文件一份，与电子采购平台上递交的为同一文件（可将所有所投包段的文件打包压缩）。</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rPr>
      </w:pPr>
      <w:r>
        <w:rPr>
          <w:rFonts w:hint="eastAsia" w:ascii="宋体" w:hAnsi="宋体" w:eastAsia="宋体" w:cs="宋体"/>
          <w:sz w:val="24"/>
          <w:szCs w:val="20"/>
        </w:rPr>
        <w:t>2）电子邮件开标流程：</w:t>
      </w:r>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0"/>
        </w:rPr>
      </w:pPr>
      <w:r>
        <w:rPr>
          <w:rFonts w:hint="eastAsia" w:ascii="宋体" w:hAnsi="宋体" w:eastAsia="宋体" w:cs="宋体"/>
          <w:sz w:val="24"/>
          <w:szCs w:val="20"/>
        </w:rPr>
        <w:t>工作人员电话通知所有投标人启动应急开标程序；</w:t>
      </w:r>
    </w:p>
    <w:p>
      <w:pPr>
        <w:pageBreakBefore w:val="0"/>
        <w:kinsoku/>
        <w:wordWrap/>
        <w:overflowPunct/>
        <w:topLinePunct w:val="0"/>
        <w:autoSpaceDE/>
        <w:autoSpaceDN/>
        <w:bidi w:val="0"/>
        <w:adjustRightInd/>
        <w:snapToGrid/>
        <w:spacing w:line="360" w:lineRule="auto"/>
        <w:ind w:left="598" w:leftChars="285" w:firstLine="360" w:firstLineChars="150"/>
        <w:textAlignment w:val="auto"/>
        <w:rPr>
          <w:rFonts w:hint="eastAsia" w:ascii="宋体" w:hAnsi="宋体" w:eastAsia="宋体" w:cs="宋体"/>
          <w:sz w:val="24"/>
          <w:szCs w:val="20"/>
        </w:rPr>
      </w:pPr>
      <w:r>
        <w:rPr>
          <w:rFonts w:hint="eastAsia" w:ascii="宋体" w:hAnsi="宋体" w:eastAsia="宋体" w:cs="宋体"/>
          <w:sz w:val="24"/>
          <w:szCs w:val="20"/>
        </w:rPr>
        <w:t>投标人收到通知后立即通过电子邮件递交投标文件（在非应急开标期间集中采购机构将不接受、不处理任何通过电子邮件提交的投标文件，导致的后果由投标人自行承担）；</w:t>
      </w:r>
    </w:p>
    <w:p>
      <w:pPr>
        <w:pageBreakBefore w:val="0"/>
        <w:kinsoku/>
        <w:wordWrap/>
        <w:overflowPunct/>
        <w:topLinePunct w:val="0"/>
        <w:autoSpaceDE/>
        <w:autoSpaceDN/>
        <w:bidi w:val="0"/>
        <w:adjustRightInd/>
        <w:snapToGrid/>
        <w:spacing w:line="360" w:lineRule="auto"/>
        <w:ind w:left="680" w:leftChars="324" w:firstLine="360" w:firstLineChars="150"/>
        <w:textAlignment w:val="auto"/>
        <w:rPr>
          <w:rFonts w:hint="eastAsia" w:ascii="宋体" w:hAnsi="宋体" w:eastAsia="宋体" w:cs="宋体"/>
          <w:sz w:val="24"/>
          <w:szCs w:val="20"/>
        </w:rPr>
      </w:pPr>
      <w:r>
        <w:rPr>
          <w:rFonts w:hint="eastAsia" w:ascii="宋体" w:hAnsi="宋体" w:eastAsia="宋体" w:cs="宋体"/>
          <w:sz w:val="24"/>
          <w:szCs w:val="20"/>
        </w:rPr>
        <w:t>递交截止时间到，工作人员开始下载投标文件并将各投标人报价录入系统；录入完成后形成开标结果并邮件回复各投标人；投标人确认报价并邮件回复，不及时回复的视为对开标结果所载内容无疑义；</w:t>
      </w:r>
    </w:p>
    <w:p>
      <w:pPr>
        <w:pageBreakBefore w:val="0"/>
        <w:kinsoku/>
        <w:wordWrap/>
        <w:overflowPunct/>
        <w:topLinePunct w:val="0"/>
        <w:autoSpaceDE/>
        <w:autoSpaceDN/>
        <w:bidi w:val="0"/>
        <w:adjustRightInd/>
        <w:snapToGrid/>
        <w:spacing w:line="360" w:lineRule="auto"/>
        <w:ind w:left="680" w:leftChars="324" w:firstLine="360" w:firstLineChars="150"/>
        <w:textAlignment w:val="auto"/>
        <w:rPr>
          <w:rFonts w:hint="eastAsia" w:ascii="宋体" w:hAnsi="宋体" w:eastAsia="宋体" w:cs="宋体"/>
          <w:sz w:val="24"/>
          <w:szCs w:val="20"/>
        </w:rPr>
      </w:pPr>
      <w:r>
        <w:rPr>
          <w:rFonts w:hint="eastAsia" w:ascii="宋体" w:hAnsi="宋体" w:eastAsia="宋体" w:cs="宋体"/>
          <w:sz w:val="24"/>
          <w:szCs w:val="20"/>
        </w:rPr>
        <w:t>开标结束。</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截止</w:t>
      </w:r>
      <w:r>
        <w:rPr>
          <w:rFonts w:hint="eastAsia" w:ascii="宋体" w:hAnsi="宋体" w:eastAsia="宋体" w:cs="宋体"/>
          <w:b w:val="0"/>
          <w:bCs w:val="0"/>
          <w:sz w:val="24"/>
          <w:szCs w:val="20"/>
        </w:rPr>
        <w:t>投标文件</w:t>
      </w:r>
      <w:r>
        <w:rPr>
          <w:rFonts w:hint="eastAsia" w:ascii="宋体" w:hAnsi="宋体" w:eastAsia="宋体" w:cs="宋体"/>
          <w:b w:val="0"/>
          <w:bCs w:val="0"/>
          <w:sz w:val="24"/>
          <w:szCs w:val="20"/>
          <w:lang w:val="zh-CN"/>
        </w:rPr>
        <w:t>递交时间，投标人不足3家的，不进行开标。</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kern w:val="0"/>
          <w:sz w:val="24"/>
          <w:szCs w:val="24"/>
          <w:lang w:val="zh-CN" w:eastAsia="zh-CN"/>
        </w:rPr>
      </w:pPr>
      <w:r>
        <w:rPr>
          <w:rFonts w:hint="eastAsia" w:ascii="宋体" w:hAnsi="宋体" w:eastAsia="宋体" w:cs="宋体"/>
          <w:b/>
          <w:sz w:val="24"/>
          <w:szCs w:val="20"/>
          <w:lang w:val="zh-CN" w:eastAsia="zh-CN"/>
        </w:rPr>
        <w:t>资格审查</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Cs/>
          <w:sz w:val="24"/>
          <w:szCs w:val="20"/>
          <w:lang w:val="zh-CN"/>
        </w:rPr>
      </w:pPr>
      <w:r>
        <w:rPr>
          <w:rFonts w:hint="eastAsia" w:ascii="宋体" w:hAnsi="宋体" w:eastAsia="宋体" w:cs="宋体"/>
          <w:bCs/>
          <w:sz w:val="24"/>
          <w:szCs w:val="20"/>
          <w:lang w:val="zh-CN"/>
        </w:rPr>
        <w:t>公开招标</w:t>
      </w:r>
      <w:r>
        <w:rPr>
          <w:rFonts w:hint="eastAsia" w:ascii="宋体" w:hAnsi="宋体" w:eastAsia="宋体" w:cs="宋体"/>
          <w:bCs/>
          <w:sz w:val="24"/>
          <w:szCs w:val="20"/>
          <w:lang w:val="zh-CN" w:eastAsia="zh-CN"/>
        </w:rPr>
        <w:t>采购项目开标结束后，采购人与集中采购机构依据法律、法规及招标文件的规定，对投标人的资格进行审查，以确定投标人资格是否合格。</w:t>
      </w:r>
      <w:r>
        <w:rPr>
          <w:rFonts w:hint="eastAsia" w:ascii="宋体" w:hAnsi="宋体" w:eastAsia="宋体" w:cs="宋体"/>
          <w:kern w:val="0"/>
          <w:sz w:val="24"/>
          <w:szCs w:val="24"/>
          <w:lang w:val="zh-CN" w:eastAsia="zh-CN"/>
        </w:rPr>
        <w:t>合格投标人不足3家的，不</w:t>
      </w:r>
      <w:r>
        <w:rPr>
          <w:rFonts w:hint="eastAsia" w:ascii="宋体" w:hAnsi="宋体" w:eastAsia="宋体" w:cs="宋体"/>
          <w:kern w:val="0"/>
          <w:sz w:val="24"/>
          <w:szCs w:val="24"/>
          <w:lang w:val="zh-CN"/>
        </w:rPr>
        <w:t>进行</w:t>
      </w:r>
      <w:r>
        <w:rPr>
          <w:rFonts w:hint="eastAsia" w:ascii="宋体" w:hAnsi="宋体" w:eastAsia="宋体" w:cs="宋体"/>
          <w:kern w:val="0"/>
          <w:sz w:val="24"/>
          <w:szCs w:val="24"/>
          <w:lang w:val="zh-CN" w:eastAsia="zh-CN"/>
        </w:rPr>
        <w:t>评标</w:t>
      </w:r>
      <w:r>
        <w:rPr>
          <w:rFonts w:hint="eastAsia" w:ascii="宋体" w:hAnsi="宋体" w:eastAsia="宋体" w:cs="宋体"/>
          <w:kern w:val="0"/>
          <w:sz w:val="24"/>
          <w:szCs w:val="24"/>
          <w:lang w:val="zh-CN"/>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Cs/>
          <w:sz w:val="24"/>
          <w:szCs w:val="20"/>
          <w:lang w:val="zh-CN"/>
        </w:rPr>
      </w:pPr>
      <w:r>
        <w:rPr>
          <w:rFonts w:hint="eastAsia" w:ascii="宋体" w:hAnsi="宋体" w:eastAsia="宋体" w:cs="宋体"/>
          <w:bCs/>
          <w:sz w:val="24"/>
          <w:szCs w:val="20"/>
          <w:lang w:val="zh-CN"/>
        </w:rPr>
        <w:t>资格审查详见第四章“资格审查方法及标准”。</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Cs/>
          <w:sz w:val="24"/>
          <w:szCs w:val="20"/>
          <w:lang w:val="zh-CN"/>
        </w:rPr>
      </w:pPr>
      <w:r>
        <w:rPr>
          <w:rFonts w:hint="eastAsia" w:ascii="宋体" w:hAnsi="宋体" w:eastAsia="宋体" w:cs="宋体"/>
          <w:b/>
          <w:sz w:val="24"/>
          <w:szCs w:val="20"/>
          <w:lang w:val="zh-CN" w:eastAsia="zh-CN"/>
        </w:rPr>
        <w:t>评标方法</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Cs/>
          <w:sz w:val="24"/>
          <w:szCs w:val="20"/>
          <w:lang w:val="zh-CN"/>
        </w:rPr>
      </w:pPr>
      <w:r>
        <w:rPr>
          <w:rFonts w:hint="eastAsia" w:ascii="宋体" w:hAnsi="宋体" w:eastAsia="宋体" w:cs="宋体"/>
          <w:bCs/>
          <w:sz w:val="24"/>
          <w:szCs w:val="20"/>
          <w:lang w:val="zh-CN"/>
        </w:rPr>
        <w:t>最低评标价法。最低评标价法是指投标文件满足招标文件全部实质性要求，且投标报价最低的投标人为中标候选人的评标方法。</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Cs/>
          <w:sz w:val="24"/>
          <w:szCs w:val="20"/>
          <w:lang w:val="zh-CN"/>
        </w:rPr>
      </w:pPr>
      <w:r>
        <w:rPr>
          <w:rFonts w:hint="eastAsia" w:ascii="宋体" w:hAnsi="宋体" w:eastAsia="宋体" w:cs="宋体"/>
          <w:bCs/>
          <w:sz w:val="24"/>
          <w:szCs w:val="20"/>
          <w:lang w:val="zh-CN"/>
        </w:rPr>
        <w:t>综合评分法。综合评分法是指投标文件满足招标文件全部实质性要求，且按照评审因素的量化指标评审得分最高的投标人为中标候选人的评标方法。</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bCs/>
          <w:sz w:val="24"/>
          <w:szCs w:val="20"/>
          <w:lang w:val="zh-CN"/>
        </w:rPr>
      </w:pPr>
      <w:r>
        <w:rPr>
          <w:rFonts w:hint="eastAsia" w:ascii="宋体" w:hAnsi="宋体" w:eastAsia="宋体" w:cs="宋体"/>
          <w:kern w:val="0"/>
          <w:sz w:val="24"/>
          <w:szCs w:val="24"/>
          <w:lang w:val="zh-CN" w:eastAsia="zh-CN"/>
        </w:rPr>
        <w:t>评标</w:t>
      </w:r>
      <w:r>
        <w:rPr>
          <w:rFonts w:hint="eastAsia" w:ascii="宋体" w:hAnsi="宋体" w:eastAsia="宋体" w:cs="宋体"/>
          <w:kern w:val="0"/>
          <w:sz w:val="24"/>
          <w:szCs w:val="24"/>
          <w:lang w:val="zh-CN"/>
        </w:rPr>
        <w:t>方法</w:t>
      </w:r>
      <w:r>
        <w:rPr>
          <w:rFonts w:hint="eastAsia" w:ascii="宋体" w:hAnsi="宋体" w:eastAsia="宋体" w:cs="宋体"/>
          <w:kern w:val="0"/>
          <w:sz w:val="24"/>
          <w:szCs w:val="24"/>
          <w:lang w:val="zh-CN" w:eastAsia="zh-CN"/>
        </w:rPr>
        <w:t>详见第五章“评标方法、程序及标准”</w:t>
      </w:r>
      <w:r>
        <w:rPr>
          <w:rFonts w:hint="eastAsia" w:ascii="宋体" w:hAnsi="宋体" w:eastAsia="宋体" w:cs="宋体"/>
          <w:bCs/>
          <w:sz w:val="24"/>
          <w:szCs w:val="20"/>
          <w:lang w:val="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b/>
          <w:sz w:val="24"/>
          <w:szCs w:val="20"/>
          <w:lang w:val="zh-CN" w:eastAsia="zh-CN"/>
        </w:rPr>
        <w:t>评标委员会的组成</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评标委员会由采购人代表和评审专家组成，成员人数应当为5人</w:t>
      </w:r>
      <w:r>
        <w:rPr>
          <w:rFonts w:hint="eastAsia" w:ascii="宋体" w:hAnsi="宋体" w:eastAsia="宋体" w:cs="宋体"/>
          <w:kern w:val="0"/>
          <w:sz w:val="24"/>
          <w:szCs w:val="24"/>
          <w:lang w:val="zh-CN"/>
        </w:rPr>
        <w:t>及</w:t>
      </w:r>
      <w:r>
        <w:rPr>
          <w:rFonts w:hint="eastAsia" w:ascii="宋体" w:hAnsi="宋体" w:eastAsia="宋体" w:cs="宋体"/>
          <w:kern w:val="0"/>
          <w:sz w:val="24"/>
          <w:szCs w:val="24"/>
          <w:lang w:val="zh-CN" w:eastAsia="zh-CN"/>
        </w:rPr>
        <w:t>以上单数，其中评审专家不得少于成员总数的三分之二</w:t>
      </w:r>
      <w:r>
        <w:rPr>
          <w:rFonts w:hint="eastAsia" w:ascii="宋体" w:hAnsi="宋体" w:eastAsia="宋体" w:cs="宋体"/>
          <w:kern w:val="0"/>
          <w:sz w:val="24"/>
          <w:szCs w:val="24"/>
          <w:lang w:val="zh-CN"/>
        </w:rPr>
        <w:t>；</w:t>
      </w:r>
      <w:r>
        <w:rPr>
          <w:rFonts w:hint="eastAsia" w:ascii="宋体" w:hAnsi="宋体" w:eastAsia="宋体" w:cs="宋体"/>
          <w:sz w:val="24"/>
          <w:szCs w:val="20"/>
          <w:lang w:val="zh-CN" w:eastAsia="zh-CN"/>
        </w:rPr>
        <w:t>采购预算金额在1000万元</w:t>
      </w:r>
      <w:r>
        <w:rPr>
          <w:rFonts w:hint="eastAsia" w:ascii="宋体" w:hAnsi="宋体" w:eastAsia="宋体" w:cs="宋体"/>
          <w:sz w:val="24"/>
          <w:szCs w:val="20"/>
          <w:lang w:val="zh-CN"/>
        </w:rPr>
        <w:t>及</w:t>
      </w:r>
      <w:r>
        <w:rPr>
          <w:rFonts w:hint="eastAsia" w:ascii="宋体" w:hAnsi="宋体" w:eastAsia="宋体" w:cs="宋体"/>
          <w:sz w:val="24"/>
          <w:szCs w:val="20"/>
          <w:lang w:val="zh-CN" w:eastAsia="zh-CN"/>
        </w:rPr>
        <w:t>以上、技术复杂或社会影响较大的项目，评标委员会成员人数应当为7人</w:t>
      </w:r>
      <w:r>
        <w:rPr>
          <w:rFonts w:hint="eastAsia" w:ascii="宋体" w:hAnsi="宋体" w:eastAsia="宋体" w:cs="宋体"/>
          <w:sz w:val="24"/>
          <w:szCs w:val="20"/>
          <w:lang w:val="zh-CN"/>
        </w:rPr>
        <w:t>及</w:t>
      </w:r>
      <w:r>
        <w:rPr>
          <w:rFonts w:hint="eastAsia" w:ascii="宋体" w:hAnsi="宋体" w:eastAsia="宋体" w:cs="宋体"/>
          <w:sz w:val="24"/>
          <w:szCs w:val="20"/>
          <w:lang w:val="zh-CN" w:eastAsia="zh-CN"/>
        </w:rPr>
        <w:t>以上单数。</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评标委员会成员依法从政府采购专家库中随机抽取。对技术复杂、专业性强的采购项目，通过随机方式难以确定合适评审专家的，经主管预算单位同意，采购人可以自行选定相应专业领域的评审专家。</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b/>
          <w:sz w:val="24"/>
          <w:szCs w:val="20"/>
          <w:lang w:val="zh-CN"/>
        </w:rPr>
        <w:t>评标程序</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评标委员会负责具体评标事务，并独立履行下列职责：</w:t>
      </w:r>
    </w:p>
    <w:p>
      <w:pPr>
        <w:pageBreakBefore w:val="0"/>
        <w:numPr>
          <w:ilvl w:val="2"/>
          <w:numId w:val="7"/>
        </w:numPr>
        <w:kinsoku/>
        <w:wordWrap/>
        <w:overflowPunct/>
        <w:topLinePunct w:val="0"/>
        <w:autoSpaceDE/>
        <w:autoSpaceDN/>
        <w:bidi w:val="0"/>
        <w:adjustRightInd/>
        <w:snapToGrid/>
        <w:spacing w:line="360" w:lineRule="auto"/>
        <w:ind w:left="709" w:leftChars="0" w:hanging="709"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审查、评价投标文件是否符合招标文件的商务、技术等实质性要求；</w:t>
      </w:r>
    </w:p>
    <w:p>
      <w:pPr>
        <w:pageBreakBefore w:val="0"/>
        <w:numPr>
          <w:ilvl w:val="2"/>
          <w:numId w:val="7"/>
        </w:numPr>
        <w:kinsoku/>
        <w:wordWrap/>
        <w:overflowPunct/>
        <w:topLinePunct w:val="0"/>
        <w:autoSpaceDE/>
        <w:autoSpaceDN/>
        <w:bidi w:val="0"/>
        <w:adjustRightInd/>
        <w:snapToGrid/>
        <w:spacing w:line="360" w:lineRule="auto"/>
        <w:ind w:left="709" w:leftChars="0" w:hanging="709"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要求投标人对投标文件有关事项作出澄清或者说明；</w:t>
      </w:r>
    </w:p>
    <w:p>
      <w:pPr>
        <w:pageBreakBefore w:val="0"/>
        <w:numPr>
          <w:ilvl w:val="2"/>
          <w:numId w:val="7"/>
        </w:numPr>
        <w:kinsoku/>
        <w:wordWrap/>
        <w:overflowPunct/>
        <w:topLinePunct w:val="0"/>
        <w:autoSpaceDE/>
        <w:autoSpaceDN/>
        <w:bidi w:val="0"/>
        <w:adjustRightInd/>
        <w:snapToGrid/>
        <w:spacing w:line="360" w:lineRule="auto"/>
        <w:ind w:left="709" w:leftChars="0" w:hanging="709"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对投标文件进行综合比较和评价；</w:t>
      </w:r>
    </w:p>
    <w:p>
      <w:pPr>
        <w:pageBreakBefore w:val="0"/>
        <w:numPr>
          <w:ilvl w:val="2"/>
          <w:numId w:val="7"/>
        </w:numPr>
        <w:kinsoku/>
        <w:wordWrap/>
        <w:overflowPunct/>
        <w:topLinePunct w:val="0"/>
        <w:autoSpaceDE/>
        <w:autoSpaceDN/>
        <w:bidi w:val="0"/>
        <w:adjustRightInd/>
        <w:snapToGrid/>
        <w:spacing w:line="360" w:lineRule="auto"/>
        <w:ind w:left="709" w:leftChars="0" w:hanging="709"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确定中标候选人名单或中标人；</w:t>
      </w:r>
    </w:p>
    <w:p>
      <w:pPr>
        <w:pageBreakBefore w:val="0"/>
        <w:numPr>
          <w:ilvl w:val="2"/>
          <w:numId w:val="7"/>
        </w:numPr>
        <w:kinsoku/>
        <w:wordWrap/>
        <w:overflowPunct/>
        <w:topLinePunct w:val="0"/>
        <w:autoSpaceDE/>
        <w:autoSpaceDN/>
        <w:bidi w:val="0"/>
        <w:adjustRightInd/>
        <w:snapToGrid/>
        <w:spacing w:line="360" w:lineRule="auto"/>
        <w:ind w:left="709" w:leftChars="0" w:hanging="709" w:firstLineChars="0"/>
        <w:textAlignment w:val="auto"/>
        <w:rPr>
          <w:rFonts w:hint="eastAsia" w:ascii="宋体" w:hAnsi="宋体" w:eastAsia="宋体" w:cs="宋体"/>
          <w:kern w:val="0"/>
          <w:sz w:val="24"/>
          <w:szCs w:val="24"/>
          <w:lang w:val="zh-CN" w:eastAsia="zh-CN"/>
        </w:rPr>
      </w:pPr>
      <w:r>
        <w:rPr>
          <w:rFonts w:hint="eastAsia" w:ascii="宋体" w:hAnsi="宋体" w:eastAsia="宋体" w:cs="宋体"/>
          <w:sz w:val="24"/>
          <w:szCs w:val="20"/>
          <w:lang w:val="zh-CN" w:eastAsia="zh-CN"/>
        </w:rPr>
        <w:t>向采购人、集中采购机构或者有关部门报告评标中发现的违法行为。</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评标程序详见第五章“评标方法、程序及标准”。</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2" w:name="_Toc8220"/>
      <w:r>
        <w:rPr>
          <w:rFonts w:hint="eastAsia" w:ascii="宋体" w:hAnsi="宋体" w:eastAsia="宋体" w:cs="宋体"/>
          <w:bCs w:val="0"/>
          <w:lang w:val="zh-CN" w:eastAsia="zh-CN"/>
        </w:rPr>
        <w:t>投标人信用信息及查询</w:t>
      </w:r>
      <w:bookmarkEnd w:id="22"/>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kern w:val="0"/>
          <w:sz w:val="24"/>
          <w:szCs w:val="24"/>
          <w:lang w:val="zh-CN" w:eastAsia="zh-CN"/>
        </w:rPr>
      </w:pPr>
      <w:r>
        <w:rPr>
          <w:rFonts w:hint="eastAsia" w:ascii="宋体" w:hAnsi="宋体" w:eastAsia="宋体" w:cs="宋体"/>
          <w:b/>
          <w:sz w:val="24"/>
          <w:szCs w:val="20"/>
          <w:lang w:val="zh-CN"/>
        </w:rPr>
        <w:t>信用信息查询渠道及使用规则</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按照《关于在政府采购活动中查询及使用信用记录有关问题的通知》的要求，参与政府采购的投标人，信用记录的查询渠道为“信用中国”网站(</w:t>
      </w:r>
      <w:r>
        <w:rPr>
          <w:rFonts w:hint="eastAsia" w:ascii="宋体" w:hAnsi="宋体" w:eastAsia="宋体" w:cs="宋体"/>
          <w:sz w:val="24"/>
          <w:szCs w:val="24"/>
        </w:rPr>
        <w:t>http://</w:t>
      </w:r>
      <w:r>
        <w:rPr>
          <w:rFonts w:hint="eastAsia" w:ascii="宋体" w:hAnsi="宋体" w:eastAsia="宋体" w:cs="宋体"/>
          <w:kern w:val="0"/>
          <w:sz w:val="24"/>
          <w:szCs w:val="24"/>
          <w:lang w:val="zh-CN" w:eastAsia="zh-CN"/>
        </w:rPr>
        <w:t>www.creditchina.gov.cn)、中国政府采购网(</w:t>
      </w:r>
      <w:r>
        <w:rPr>
          <w:rFonts w:hint="eastAsia" w:ascii="宋体" w:hAnsi="宋体" w:eastAsia="宋体" w:cs="宋体"/>
          <w:sz w:val="24"/>
          <w:szCs w:val="24"/>
        </w:rPr>
        <w:t>http://</w:t>
      </w:r>
      <w:r>
        <w:rPr>
          <w:rFonts w:hint="eastAsia" w:ascii="宋体" w:hAnsi="宋体" w:eastAsia="宋体" w:cs="宋体"/>
        </w:rPr>
        <w:fldChar w:fldCharType="begin"/>
      </w:r>
      <w:r>
        <w:rPr>
          <w:rFonts w:hint="eastAsia" w:ascii="宋体" w:hAnsi="宋体" w:eastAsia="宋体" w:cs="宋体"/>
        </w:rPr>
        <w:instrText xml:space="preserve"> HYPERLINK "http://www.ccgp.gov.cn" </w:instrText>
      </w:r>
      <w:r>
        <w:rPr>
          <w:rFonts w:hint="eastAsia" w:ascii="宋体" w:hAnsi="宋体" w:eastAsia="宋体" w:cs="宋体"/>
        </w:rPr>
        <w:fldChar w:fldCharType="separate"/>
      </w:r>
      <w:r>
        <w:rPr>
          <w:rFonts w:hint="eastAsia" w:ascii="宋体" w:hAnsi="宋体" w:eastAsia="宋体" w:cs="宋体"/>
          <w:kern w:val="0"/>
          <w:sz w:val="24"/>
          <w:szCs w:val="24"/>
          <w:lang w:val="zh-CN" w:eastAsia="zh-CN"/>
        </w:rPr>
        <w:t>www.ccgp.gov.cn</w:t>
      </w:r>
      <w:r>
        <w:rPr>
          <w:rFonts w:hint="eastAsia" w:ascii="宋体" w:hAnsi="宋体" w:eastAsia="宋体" w:cs="宋体"/>
          <w:kern w:val="0"/>
          <w:sz w:val="24"/>
          <w:szCs w:val="24"/>
          <w:lang w:val="zh-CN" w:eastAsia="zh-CN"/>
        </w:rPr>
        <w:fldChar w:fldCharType="end"/>
      </w:r>
      <w:r>
        <w:rPr>
          <w:rFonts w:hint="eastAsia" w:ascii="宋体" w:hAnsi="宋体" w:eastAsia="宋体" w:cs="宋体"/>
          <w:kern w:val="0"/>
          <w:sz w:val="24"/>
          <w:szCs w:val="24"/>
          <w:lang w:val="zh-CN" w:eastAsia="zh-CN"/>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列入失信被执行人、重大税收违法案件当事人名单、政府采购严重违法失信行为记录名单的供应商，集中采购机构</w:t>
      </w:r>
      <w:r>
        <w:rPr>
          <w:rFonts w:hint="eastAsia" w:ascii="宋体" w:hAnsi="宋体" w:eastAsia="宋体" w:cs="宋体"/>
          <w:b/>
          <w:kern w:val="0"/>
          <w:sz w:val="24"/>
          <w:szCs w:val="24"/>
          <w:lang w:val="zh-CN" w:eastAsia="zh-CN"/>
        </w:rPr>
        <w:t>拒绝</w:t>
      </w:r>
      <w:r>
        <w:rPr>
          <w:rFonts w:hint="eastAsia" w:ascii="宋体" w:hAnsi="宋体" w:eastAsia="宋体" w:cs="宋体"/>
          <w:kern w:val="0"/>
          <w:sz w:val="24"/>
          <w:szCs w:val="24"/>
          <w:lang w:val="zh-CN" w:eastAsia="zh-CN"/>
        </w:rPr>
        <w:t>其参与政府采购活动。</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两个</w:t>
      </w:r>
      <w:r>
        <w:rPr>
          <w:rFonts w:hint="eastAsia" w:ascii="宋体" w:hAnsi="宋体" w:eastAsia="宋体" w:cs="宋体"/>
          <w:kern w:val="0"/>
          <w:sz w:val="24"/>
          <w:szCs w:val="24"/>
          <w:lang w:val="zh-CN"/>
        </w:rPr>
        <w:t>及</w:t>
      </w:r>
      <w:r>
        <w:rPr>
          <w:rFonts w:hint="eastAsia" w:ascii="宋体" w:hAnsi="宋体" w:eastAsia="宋体" w:cs="宋体"/>
          <w:kern w:val="0"/>
          <w:sz w:val="24"/>
          <w:szCs w:val="24"/>
          <w:lang w:val="zh-CN" w:eastAsia="zh-CN"/>
        </w:rPr>
        <w:t>以上自然人、法人或者其他组织组成联合体，以一个供应商的身份共同参加政府采购活动的，应当对所有联合体成员进行信用记录查询，联合体成员存在不良信用记录的，视同联合体存在不良信用信息。</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投标人的信用记录，最终以评标时的“信用中国”网站和“中国政府采购网”发布的信息为准。</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在资格审查与评标工作未同日进行的特殊情形下，集中采购机构工作人员在评标时对投标人的信用信息进行复核，发现评标当日存在不良信用信息的，由评</w:t>
      </w:r>
      <w:r>
        <w:rPr>
          <w:rFonts w:hint="eastAsia" w:ascii="宋体" w:hAnsi="宋体" w:eastAsia="宋体" w:cs="宋体"/>
          <w:kern w:val="0"/>
          <w:sz w:val="24"/>
          <w:szCs w:val="24"/>
          <w:lang w:val="zh-CN"/>
        </w:rPr>
        <w:t>标委员会</w:t>
      </w:r>
      <w:r>
        <w:rPr>
          <w:rFonts w:hint="eastAsia" w:ascii="宋体" w:hAnsi="宋体" w:eastAsia="宋体" w:cs="宋体"/>
          <w:kern w:val="0"/>
          <w:sz w:val="24"/>
          <w:szCs w:val="24"/>
          <w:lang w:val="zh-CN" w:eastAsia="zh-CN"/>
        </w:rPr>
        <w:t>按照符合性审查不合格作</w:t>
      </w:r>
      <w:r>
        <w:rPr>
          <w:rFonts w:hint="eastAsia" w:ascii="宋体" w:hAnsi="宋体" w:eastAsia="宋体" w:cs="宋体"/>
          <w:b/>
          <w:kern w:val="0"/>
          <w:sz w:val="24"/>
          <w:szCs w:val="24"/>
          <w:lang w:val="zh-CN" w:eastAsia="zh-CN"/>
        </w:rPr>
        <w:t>无效投标处理</w:t>
      </w:r>
      <w:r>
        <w:rPr>
          <w:rFonts w:hint="eastAsia" w:ascii="宋体" w:hAnsi="宋体" w:eastAsia="宋体" w:cs="宋体"/>
          <w:kern w:val="0"/>
          <w:sz w:val="24"/>
          <w:szCs w:val="24"/>
          <w:lang w:val="zh-CN" w:eastAsia="zh-CN"/>
        </w:rPr>
        <w:t>。</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3" w:name="_Toc7789"/>
      <w:r>
        <w:rPr>
          <w:rFonts w:hint="eastAsia" w:ascii="宋体" w:hAnsi="宋体" w:eastAsia="宋体" w:cs="宋体"/>
          <w:bCs w:val="0"/>
          <w:lang w:val="zh-CN" w:eastAsia="zh-CN"/>
        </w:rPr>
        <w:t>中标与合同</w:t>
      </w:r>
      <w:bookmarkEnd w:id="23"/>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rPr>
      </w:pPr>
      <w:r>
        <w:rPr>
          <w:rFonts w:hint="eastAsia" w:ascii="宋体" w:hAnsi="宋体" w:eastAsia="宋体" w:cs="宋体"/>
          <w:b/>
          <w:sz w:val="24"/>
          <w:szCs w:val="20"/>
          <w:lang w:val="zh-CN" w:eastAsia="zh-CN"/>
        </w:rPr>
        <w:t>确定中标人</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kern w:val="0"/>
          <w:sz w:val="24"/>
          <w:szCs w:val="24"/>
          <w:lang w:val="zh-CN" w:eastAsia="zh-CN"/>
        </w:rPr>
        <w:t>采购人收到评标报告5个工作日内，</w:t>
      </w:r>
      <w:r>
        <w:rPr>
          <w:rFonts w:hint="eastAsia" w:ascii="宋体" w:hAnsi="宋体" w:eastAsia="宋体" w:cs="宋体"/>
          <w:kern w:val="0"/>
          <w:sz w:val="24"/>
          <w:szCs w:val="24"/>
          <w:lang w:val="zh-CN"/>
        </w:rPr>
        <w:t>按</w:t>
      </w:r>
      <w:r>
        <w:rPr>
          <w:rFonts w:hint="eastAsia" w:ascii="宋体" w:hAnsi="宋体" w:eastAsia="宋体" w:cs="宋体"/>
          <w:kern w:val="0"/>
          <w:sz w:val="24"/>
          <w:szCs w:val="24"/>
          <w:lang w:val="zh-CN" w:eastAsia="zh-CN"/>
        </w:rPr>
        <w:t>评标报告推荐的中标候选人顺序确定中标人。</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rPr>
      </w:pPr>
      <w:r>
        <w:rPr>
          <w:rFonts w:hint="eastAsia" w:ascii="宋体" w:hAnsi="宋体" w:eastAsia="宋体" w:cs="宋体"/>
          <w:kern w:val="0"/>
          <w:sz w:val="24"/>
          <w:szCs w:val="24"/>
          <w:lang w:val="zh-CN" w:eastAsia="zh-CN"/>
        </w:rPr>
        <w:t>中标候选人并列的</w:t>
      </w:r>
      <w:r>
        <w:rPr>
          <w:rFonts w:hint="eastAsia" w:ascii="宋体" w:hAnsi="宋体" w:eastAsia="宋体" w:cs="宋体"/>
          <w:kern w:val="0"/>
          <w:sz w:val="24"/>
          <w:szCs w:val="24"/>
          <w:lang w:val="zh-CN"/>
        </w:rPr>
        <w:t>：</w:t>
      </w:r>
    </w:p>
    <w:p>
      <w:pPr>
        <w:pageBreakBefore w:val="0"/>
        <w:numPr>
          <w:ilvl w:val="0"/>
          <w:numId w:val="23"/>
        </w:numPr>
        <w:kinsoku/>
        <w:wordWrap/>
        <w:overflowPunct/>
        <w:topLinePunct w:val="0"/>
        <w:autoSpaceDE/>
        <w:autoSpaceDN/>
        <w:bidi w:val="0"/>
        <w:adjustRightInd/>
        <w:snapToGrid/>
        <w:spacing w:line="360" w:lineRule="auto"/>
        <w:ind w:left="980" w:hanging="854"/>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采用最低评标价法的，评标结果按投标报价由低到高顺序排列。投标报价相同 的并列，由采购人确定或者采购人委托评标委员会以投票方式确定中标人。</w:t>
      </w:r>
    </w:p>
    <w:p>
      <w:pPr>
        <w:pageBreakBefore w:val="0"/>
        <w:numPr>
          <w:ilvl w:val="0"/>
          <w:numId w:val="23"/>
        </w:numPr>
        <w:kinsoku/>
        <w:wordWrap/>
        <w:overflowPunct/>
        <w:topLinePunct w:val="0"/>
        <w:autoSpaceDE/>
        <w:autoSpaceDN/>
        <w:bidi w:val="0"/>
        <w:adjustRightInd/>
        <w:snapToGrid/>
        <w:spacing w:line="360" w:lineRule="auto"/>
        <w:ind w:left="980" w:hanging="854"/>
        <w:textAlignment w:val="auto"/>
        <w:rPr>
          <w:rFonts w:hint="eastAsia" w:ascii="宋体" w:hAnsi="宋体" w:eastAsia="宋体" w:cs="宋体"/>
          <w:sz w:val="24"/>
          <w:szCs w:val="20"/>
          <w:lang w:val="zh-CN"/>
        </w:rPr>
      </w:pPr>
      <w:r>
        <w:rPr>
          <w:rFonts w:hint="eastAsia" w:ascii="宋体" w:hAnsi="宋体" w:eastAsia="宋体" w:cs="宋体"/>
          <w:sz w:val="24"/>
          <w:szCs w:val="20"/>
          <w:lang w:val="zh-CN" w:eastAsia="zh-CN"/>
        </w:rPr>
        <w:t>采用综合评分法的，评标结果按评审后得分由高到低顺序排列。得分相同的，按投标报价由低到高顺序排列。得分且投标报价相同的并列，由采购人确定或者采购人委托评标委员会以投票方式确定中标人。</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trike/>
          <w:sz w:val="24"/>
          <w:szCs w:val="20"/>
          <w:lang w:val="zh-CN" w:eastAsia="zh-CN"/>
        </w:rPr>
      </w:pPr>
      <w:r>
        <w:rPr>
          <w:rFonts w:hint="eastAsia" w:ascii="宋体" w:hAnsi="宋体" w:eastAsia="宋体" w:cs="宋体"/>
          <w:sz w:val="24"/>
          <w:szCs w:val="20"/>
          <w:lang w:val="zh-CN"/>
        </w:rPr>
        <w:t>中标人的数量有其他规定的，按招标文件相关规定执行。</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trike/>
          <w:sz w:val="24"/>
          <w:szCs w:val="20"/>
          <w:lang w:val="zh-CN" w:eastAsia="zh-CN"/>
        </w:rPr>
      </w:pPr>
      <w:r>
        <w:rPr>
          <w:rFonts w:hint="eastAsia" w:ascii="宋体" w:hAnsi="宋体" w:eastAsia="宋体" w:cs="宋体"/>
          <w:sz w:val="24"/>
          <w:szCs w:val="20"/>
          <w:lang w:val="zh-CN" w:eastAsia="zh-CN"/>
        </w:rPr>
        <w:t>中标人确定后，集中采购机构在政府采购监管部门指定的媒体上发布中标公告，同时向中标人和采购人发出《中标通知书》。《中标通知书》是</w:t>
      </w:r>
      <w:r>
        <w:rPr>
          <w:rFonts w:hint="eastAsia" w:ascii="宋体" w:hAnsi="宋体" w:eastAsia="宋体" w:cs="宋体"/>
          <w:sz w:val="24"/>
          <w:szCs w:val="20"/>
          <w:lang w:val="zh-CN"/>
        </w:rPr>
        <w:t>政府采购</w:t>
      </w:r>
      <w:r>
        <w:rPr>
          <w:rFonts w:hint="eastAsia" w:ascii="宋体" w:hAnsi="宋体" w:eastAsia="宋体" w:cs="宋体"/>
          <w:sz w:val="24"/>
          <w:szCs w:val="20"/>
          <w:lang w:val="zh-CN" w:eastAsia="zh-CN"/>
        </w:rPr>
        <w:t>合同的组成部分,对中标人和采购人具有同等法律效力。</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中标通知书发出后，采购人不得违法改变中标结果，中标人无正当理由不得放弃中标。</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中标人拒绝与采购人签订合同的，采购人可以按照评标报告推荐的中标候选人名单排序，确定下一候选人为中标人，也可以重新开展政府采购活动。</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eastAsia="zh-CN"/>
        </w:rPr>
      </w:pPr>
      <w:r>
        <w:rPr>
          <w:rFonts w:hint="eastAsia" w:ascii="宋体" w:hAnsi="宋体" w:eastAsia="宋体" w:cs="宋体"/>
          <w:b/>
          <w:sz w:val="24"/>
          <w:szCs w:val="20"/>
          <w:lang w:val="zh-CN" w:eastAsia="zh-CN"/>
        </w:rPr>
        <w:t>合同授予</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除本</w:t>
      </w:r>
      <w:r>
        <w:rPr>
          <w:rFonts w:hint="eastAsia" w:ascii="宋体" w:hAnsi="宋体" w:eastAsia="宋体" w:cs="宋体"/>
          <w:sz w:val="24"/>
          <w:szCs w:val="20"/>
          <w:lang w:val="zh-CN"/>
        </w:rPr>
        <w:t>章“确定中标人”规定及其他法律规定的情形</w:t>
      </w:r>
      <w:r>
        <w:rPr>
          <w:rFonts w:hint="eastAsia" w:ascii="宋体" w:hAnsi="宋体" w:eastAsia="宋体" w:cs="宋体"/>
          <w:sz w:val="24"/>
          <w:szCs w:val="20"/>
          <w:lang w:val="zh-CN" w:eastAsia="zh-CN"/>
        </w:rPr>
        <w:t>外，</w:t>
      </w:r>
      <w:r>
        <w:rPr>
          <w:rFonts w:hint="eastAsia" w:ascii="宋体" w:hAnsi="宋体" w:eastAsia="宋体" w:cs="宋体"/>
          <w:sz w:val="24"/>
          <w:szCs w:val="20"/>
          <w:lang w:val="zh-CN"/>
        </w:rPr>
        <w:t>采购人</w:t>
      </w:r>
      <w:r>
        <w:rPr>
          <w:rFonts w:hint="eastAsia" w:ascii="宋体" w:hAnsi="宋体" w:eastAsia="宋体" w:cs="宋体"/>
          <w:sz w:val="24"/>
          <w:szCs w:val="20"/>
          <w:lang w:val="zh-CN" w:eastAsia="zh-CN"/>
        </w:rPr>
        <w:t>把合同授予被确定为实质上响应招标文件要求且排名第一的中标人。</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b/>
          <w:sz w:val="24"/>
          <w:szCs w:val="20"/>
          <w:lang w:val="zh-CN" w:eastAsia="zh-CN"/>
        </w:rPr>
        <w:t>合同签订</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采购人应当自中标通知书发出之日起30日内，按照招标文件</w:t>
      </w:r>
      <w:r>
        <w:rPr>
          <w:rFonts w:hint="eastAsia" w:ascii="宋体" w:hAnsi="宋体" w:eastAsia="宋体" w:cs="宋体"/>
          <w:sz w:val="24"/>
          <w:szCs w:val="20"/>
          <w:lang w:val="zh-CN"/>
        </w:rPr>
        <w:t>规定</w:t>
      </w:r>
      <w:r>
        <w:rPr>
          <w:rFonts w:hint="eastAsia" w:ascii="宋体" w:hAnsi="宋体" w:eastAsia="宋体" w:cs="宋体"/>
          <w:sz w:val="24"/>
          <w:szCs w:val="20"/>
          <w:lang w:val="zh-CN" w:eastAsia="zh-CN"/>
        </w:rPr>
        <w:t>和中标人投标文件的</w:t>
      </w:r>
      <w:r>
        <w:rPr>
          <w:rFonts w:hint="eastAsia" w:ascii="宋体" w:hAnsi="宋体" w:eastAsia="宋体" w:cs="宋体"/>
          <w:sz w:val="24"/>
          <w:szCs w:val="20"/>
          <w:lang w:val="zh-CN"/>
        </w:rPr>
        <w:t>承诺</w:t>
      </w:r>
      <w:r>
        <w:rPr>
          <w:rFonts w:hint="eastAsia" w:ascii="宋体" w:hAnsi="宋体" w:eastAsia="宋体" w:cs="宋体"/>
          <w:sz w:val="24"/>
          <w:szCs w:val="20"/>
          <w:lang w:val="zh-CN" w:eastAsia="zh-CN"/>
        </w:rPr>
        <w:t>，与中标人签订合同。所签订的合同不得对招标文件确定的事项和中标人投标文件作实质性修改。</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采购人不得向中标人提出任何不合理的要求作为签订合同的条件。</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政府采购合同应当包括采购人与中标人的名称和住所、标的、数量、质量、价款或者报酬、履行期限及地点和方式、验收要求、违约责任、解决争议的方法等内容。</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采购人与中标人应当根据合同的约定依法履行合同义务。政府采购合同的履行、违约责任和解决争议的方法等适用《</w:t>
      </w:r>
      <w:r>
        <w:rPr>
          <w:rFonts w:hint="eastAsia" w:ascii="宋体" w:hAnsi="宋体" w:eastAsia="宋体" w:cs="宋体"/>
          <w:kern w:val="0"/>
          <w:sz w:val="24"/>
          <w:szCs w:val="24"/>
          <w:lang w:eastAsia="zh-CN"/>
        </w:rPr>
        <w:t>中华人民共和国民法典</w:t>
      </w:r>
      <w:r>
        <w:rPr>
          <w:rFonts w:hint="eastAsia" w:ascii="宋体" w:hAnsi="宋体" w:eastAsia="宋体" w:cs="宋体"/>
          <w:kern w:val="0"/>
          <w:sz w:val="24"/>
          <w:szCs w:val="24"/>
          <w:lang w:val="zh-CN" w:eastAsia="zh-CN"/>
        </w:rPr>
        <w:t>》。</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eastAsia="zh-CN"/>
        </w:rPr>
        <w:t>采购人应当自政府采购合同签订之日起2个工作日内，将政府采购合同在省级以上人民政府财政部门指定的媒体上公告，但政府采购合同中涉及国家秘密、商业秘密的内容除外。</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sz w:val="24"/>
          <w:szCs w:val="20"/>
          <w:lang w:val="zh-CN" w:eastAsia="zh-CN"/>
        </w:rPr>
      </w:pPr>
      <w:r>
        <w:rPr>
          <w:rFonts w:hint="eastAsia" w:ascii="宋体" w:hAnsi="宋体" w:eastAsia="宋体" w:cs="宋体"/>
          <w:kern w:val="0"/>
          <w:sz w:val="24"/>
          <w:szCs w:val="24"/>
          <w:lang w:val="zh-CN" w:eastAsia="zh-CN"/>
        </w:rPr>
        <w:t>采购人应当加强对中标人的履约管理，并按照采购合同约定，及时向中标人支付采购资金。对于中标人违反采购合同约定的行为，采购人应当及时处理，依法追究其违约责任。</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4" w:name="_Toc26896"/>
      <w:r>
        <w:rPr>
          <w:rFonts w:hint="eastAsia" w:ascii="宋体" w:hAnsi="宋体" w:eastAsia="宋体" w:cs="宋体"/>
          <w:bCs w:val="0"/>
          <w:lang w:val="zh-CN" w:eastAsia="zh-CN"/>
        </w:rPr>
        <w:t>采购信息公告</w:t>
      </w:r>
      <w:bookmarkEnd w:id="24"/>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kern w:val="0"/>
          <w:sz w:val="24"/>
          <w:szCs w:val="24"/>
          <w:lang w:val="zh-CN" w:eastAsia="zh-CN"/>
        </w:rPr>
      </w:pPr>
      <w:r>
        <w:rPr>
          <w:rFonts w:hint="eastAsia" w:ascii="宋体" w:hAnsi="宋体" w:eastAsia="宋体" w:cs="宋体"/>
          <w:b/>
          <w:kern w:val="0"/>
          <w:sz w:val="24"/>
          <w:szCs w:val="24"/>
          <w:lang w:val="zh-CN"/>
        </w:rPr>
        <w:t>公告的媒体及规定</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集中采购机构在招标活动中的公告、补充、更正、结果等采购信息均依法在政府采购监管部门指定媒体上（中国湖北政府采购网http://www.ccgp-hubei.gov.cn/）发布。</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集中采购机构在自中标人确定之日起2个工作日内，在政府采购监管部门指定媒体上公告中标结果，中标公告的公示期为1个工作日。</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资格审查未通过的投标人可在</w:t>
      </w:r>
      <w:r>
        <w:rPr>
          <w:rFonts w:hint="eastAsia" w:ascii="宋体" w:hAnsi="宋体" w:eastAsia="宋体" w:cs="宋体"/>
          <w:kern w:val="0"/>
          <w:sz w:val="24"/>
          <w:szCs w:val="24"/>
          <w:lang w:val="zh-CN"/>
        </w:rPr>
        <w:t>结果</w:t>
      </w:r>
      <w:r>
        <w:rPr>
          <w:rFonts w:hint="eastAsia" w:ascii="宋体" w:hAnsi="宋体" w:eastAsia="宋体" w:cs="宋体"/>
          <w:kern w:val="0"/>
          <w:sz w:val="24"/>
          <w:szCs w:val="24"/>
          <w:lang w:val="zh-CN" w:eastAsia="zh-CN"/>
        </w:rPr>
        <w:t>公告质疑有效期内按公告中的联系方式获知本</w:t>
      </w:r>
      <w:r>
        <w:rPr>
          <w:rFonts w:hint="eastAsia" w:ascii="宋体" w:hAnsi="宋体" w:eastAsia="宋体" w:cs="宋体"/>
          <w:kern w:val="0"/>
          <w:sz w:val="24"/>
          <w:szCs w:val="24"/>
          <w:lang w:val="zh-CN"/>
        </w:rPr>
        <w:t>单位</w:t>
      </w:r>
      <w:r>
        <w:rPr>
          <w:rFonts w:hint="eastAsia" w:ascii="宋体" w:hAnsi="宋体" w:eastAsia="宋体" w:cs="宋体"/>
          <w:kern w:val="0"/>
          <w:sz w:val="24"/>
          <w:szCs w:val="24"/>
          <w:lang w:val="zh-CN" w:eastAsia="zh-CN"/>
        </w:rPr>
        <w:t>的资格审查情况。</w:t>
      </w:r>
    </w:p>
    <w:p>
      <w:pPr>
        <w:pageBreakBefore w:val="0"/>
        <w:numPr>
          <w:ilvl w:val="1"/>
          <w:numId w:val="7"/>
        </w:numPr>
        <w:kinsoku/>
        <w:wordWrap/>
        <w:overflowPunct/>
        <w:topLinePunct w:val="0"/>
        <w:autoSpaceDE/>
        <w:autoSpaceDN/>
        <w:bidi w:val="0"/>
        <w:adjustRightInd/>
        <w:snapToGrid/>
        <w:spacing w:line="360" w:lineRule="auto"/>
        <w:ind w:left="567" w:leftChars="0" w:hanging="567" w:firstLineChars="0"/>
        <w:textAlignment w:val="auto"/>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采用综合评分法评审的项目，未中标人可在</w:t>
      </w:r>
      <w:r>
        <w:rPr>
          <w:rFonts w:hint="eastAsia" w:ascii="宋体" w:hAnsi="宋体" w:eastAsia="宋体" w:cs="宋体"/>
          <w:kern w:val="0"/>
          <w:sz w:val="24"/>
          <w:szCs w:val="24"/>
          <w:lang w:val="zh-CN"/>
        </w:rPr>
        <w:t>结果</w:t>
      </w:r>
      <w:r>
        <w:rPr>
          <w:rFonts w:hint="eastAsia" w:ascii="宋体" w:hAnsi="宋体" w:eastAsia="宋体" w:cs="宋体"/>
          <w:kern w:val="0"/>
          <w:sz w:val="24"/>
          <w:szCs w:val="24"/>
          <w:lang w:val="zh-CN" w:eastAsia="zh-CN"/>
        </w:rPr>
        <w:t>公告质疑有效期内按公告中的联系方式获知本</w:t>
      </w:r>
      <w:r>
        <w:rPr>
          <w:rFonts w:hint="eastAsia" w:ascii="宋体" w:hAnsi="宋体" w:eastAsia="宋体" w:cs="宋体"/>
          <w:kern w:val="0"/>
          <w:sz w:val="24"/>
          <w:szCs w:val="24"/>
          <w:lang w:val="zh-CN"/>
        </w:rPr>
        <w:t>单位</w:t>
      </w:r>
      <w:r>
        <w:rPr>
          <w:rFonts w:hint="eastAsia" w:ascii="宋体" w:hAnsi="宋体" w:eastAsia="宋体" w:cs="宋体"/>
          <w:kern w:val="0"/>
          <w:sz w:val="24"/>
          <w:szCs w:val="24"/>
          <w:lang w:val="zh-CN" w:eastAsia="zh-CN"/>
        </w:rPr>
        <w:t>的评审得分与排序。</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5" w:name="_Toc23630"/>
      <w:r>
        <w:rPr>
          <w:rFonts w:hint="eastAsia" w:ascii="宋体" w:hAnsi="宋体" w:eastAsia="宋体" w:cs="宋体"/>
          <w:bCs w:val="0"/>
          <w:lang w:val="zh-CN" w:eastAsia="zh-CN"/>
        </w:rPr>
        <w:t>质疑及提交</w:t>
      </w:r>
      <w:bookmarkEnd w:id="25"/>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质疑提交</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0"/>
          <w:lang w:val="zh-CN"/>
        </w:rPr>
        <w:t>投标人</w:t>
      </w:r>
      <w:r>
        <w:rPr>
          <w:rFonts w:hint="eastAsia" w:ascii="宋体" w:hAnsi="宋体" w:eastAsia="宋体" w:cs="宋体"/>
          <w:sz w:val="24"/>
          <w:szCs w:val="20"/>
          <w:lang w:val="zh-CN" w:eastAsia="zh-CN"/>
        </w:rPr>
        <w:t>认为招标文件、招标过程和中标结果使自己的权益受到损害的，可以在知道或者应知其权益受到损害之日起7个工作日内，向湖北省公共资源交易中心（湖北省政府采购中心）提出质疑。质疑提出方式：（1）登录</w:t>
      </w:r>
      <w:r>
        <w:rPr>
          <w:rFonts w:hint="eastAsia" w:ascii="宋体" w:hAnsi="宋体" w:cs="宋体"/>
          <w:sz w:val="24"/>
          <w:szCs w:val="20"/>
          <w:lang w:val="zh-CN" w:eastAsia="zh-CN"/>
        </w:rPr>
        <w:t>潜江市</w:t>
      </w:r>
      <w:r>
        <w:rPr>
          <w:rFonts w:hint="eastAsia" w:ascii="宋体" w:hAnsi="宋体" w:eastAsia="宋体" w:cs="宋体"/>
          <w:sz w:val="24"/>
          <w:szCs w:val="20"/>
          <w:lang w:val="zh-CN" w:eastAsia="zh-CN"/>
        </w:rPr>
        <w:t>政府电子采购平台，点击“我的质疑”→“提出质疑”，然后按操作提示进行操作；</w:t>
      </w:r>
      <w:r>
        <w:rPr>
          <w:rFonts w:hint="eastAsia" w:ascii="宋体" w:hAnsi="宋体" w:eastAsia="宋体" w:cs="宋体"/>
          <w:sz w:val="24"/>
          <w:szCs w:val="24"/>
          <w:lang w:val="zh-CN" w:eastAsia="zh-CN"/>
        </w:rPr>
        <w:t>（2）线下提交《质疑函》。质疑提出时间以提供书面质疑</w:t>
      </w:r>
      <w:r>
        <w:rPr>
          <w:rFonts w:hint="eastAsia" w:ascii="宋体" w:hAnsi="宋体" w:eastAsia="宋体" w:cs="宋体"/>
          <w:sz w:val="24"/>
          <w:szCs w:val="24"/>
          <w:lang w:val="zh-CN"/>
        </w:rPr>
        <w:t>函</w:t>
      </w:r>
      <w:r>
        <w:rPr>
          <w:rFonts w:hint="eastAsia" w:ascii="宋体" w:hAnsi="宋体" w:eastAsia="宋体" w:cs="宋体"/>
          <w:sz w:val="24"/>
          <w:szCs w:val="24"/>
          <w:lang w:val="zh-CN" w:eastAsia="zh-CN"/>
        </w:rPr>
        <w:t>记载为准。联系人：</w:t>
      </w:r>
      <w:r>
        <w:rPr>
          <w:rFonts w:hint="eastAsia" w:ascii="宋体" w:hAnsi="宋体" w:eastAsia="宋体" w:cs="宋体"/>
          <w:bCs/>
          <w:sz w:val="24"/>
          <w:szCs w:val="24"/>
        </w:rPr>
        <w:t>李启翱</w:t>
      </w:r>
      <w:r>
        <w:rPr>
          <w:rFonts w:hint="eastAsia" w:ascii="宋体" w:hAnsi="宋体" w:eastAsia="宋体" w:cs="宋体"/>
          <w:sz w:val="24"/>
          <w:szCs w:val="24"/>
          <w:lang w:val="zh-CN" w:eastAsia="zh-CN"/>
        </w:rPr>
        <w:t>；联系电话：</w:t>
      </w:r>
      <w:r>
        <w:rPr>
          <w:rFonts w:hint="eastAsia" w:ascii="宋体" w:hAnsi="宋体" w:eastAsia="宋体" w:cs="宋体"/>
          <w:bCs/>
          <w:sz w:val="24"/>
          <w:szCs w:val="24"/>
        </w:rPr>
        <w:t>0728-6238550</w:t>
      </w:r>
      <w:r>
        <w:rPr>
          <w:rFonts w:hint="eastAsia" w:ascii="宋体" w:hAnsi="宋体" w:eastAsia="宋体" w:cs="宋体"/>
          <w:sz w:val="24"/>
          <w:szCs w:val="24"/>
          <w:lang w:val="zh-CN" w:eastAsia="zh-CN"/>
        </w:rPr>
        <w:t>；联系地址：</w:t>
      </w:r>
      <w:r>
        <w:rPr>
          <w:rFonts w:hint="eastAsia" w:ascii="宋体" w:hAnsi="宋体" w:eastAsia="宋体" w:cs="宋体"/>
          <w:bCs/>
          <w:sz w:val="24"/>
          <w:szCs w:val="24"/>
        </w:rPr>
        <w:t>潜江市政府采购中心20</w:t>
      </w:r>
      <w:r>
        <w:rPr>
          <w:rFonts w:hint="eastAsia" w:ascii="宋体" w:hAnsi="宋体" w:eastAsia="宋体" w:cs="宋体"/>
          <w:bCs/>
          <w:sz w:val="24"/>
          <w:szCs w:val="24"/>
          <w:lang w:val="en-US" w:eastAsia="zh-CN"/>
        </w:rPr>
        <w:t>4</w:t>
      </w:r>
      <w:r>
        <w:rPr>
          <w:rFonts w:hint="eastAsia" w:ascii="宋体" w:hAnsi="宋体" w:eastAsia="宋体" w:cs="宋体"/>
          <w:bCs/>
          <w:sz w:val="24"/>
          <w:szCs w:val="24"/>
        </w:rPr>
        <w:t>室（潜江市章华南路34号）</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投标人应知其权益受到损害之日是指：</w:t>
      </w:r>
    </w:p>
    <w:p>
      <w:pPr>
        <w:pageBreakBefore w:val="0"/>
        <w:numPr>
          <w:ilvl w:val="0"/>
          <w:numId w:val="24"/>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对可以质疑的招标文件提出质疑的，为收到招标文件之日或者招标文件公告期限届满之日；</w:t>
      </w:r>
    </w:p>
    <w:p>
      <w:pPr>
        <w:pageBreakBefore w:val="0"/>
        <w:numPr>
          <w:ilvl w:val="0"/>
          <w:numId w:val="24"/>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对招标过程提出质疑的，为各招标程序环节结束之日；</w:t>
      </w:r>
    </w:p>
    <w:p>
      <w:pPr>
        <w:pageBreakBefore w:val="0"/>
        <w:numPr>
          <w:ilvl w:val="0"/>
          <w:numId w:val="24"/>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对中标结果提出质疑的，为中标公告期限届满之日。</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质疑书应当包括下列主要内容：</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质疑人的名称、地址、联系人及联系电话等；</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被质疑人的名称、地址、联系人及联系电话等；</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质疑项目名称及编号、质疑事项和明确的请求；</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质疑事项的事实根据、法律依据及其他必要的证明材料；</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提出质疑的日期；</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质疑人的署名及签章（质疑人为自然人的，应当由本人签字；质疑人为法人或者其他组织的，应当由法定代表人或者主要负责人签字盖章并加盖公章）；</w:t>
      </w:r>
    </w:p>
    <w:p>
      <w:pPr>
        <w:pageBreakBefore w:val="0"/>
        <w:numPr>
          <w:ilvl w:val="0"/>
          <w:numId w:val="25"/>
        </w:numPr>
        <w:kinsoku/>
        <w:wordWrap/>
        <w:overflowPunct/>
        <w:topLinePunct w:val="0"/>
        <w:autoSpaceDE/>
        <w:autoSpaceDN/>
        <w:bidi w:val="0"/>
        <w:adjustRightInd/>
        <w:snapToGrid/>
        <w:spacing w:line="360" w:lineRule="auto"/>
        <w:ind w:left="616" w:hanging="616"/>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法人授权委托书（质疑人或法人委托代理人办理质疑事务的，应当提供授权委托书，授权委托书应当载明委托代理的具体权限和事项）。</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sz w:val="24"/>
          <w:szCs w:val="20"/>
          <w:lang w:val="zh-CN"/>
        </w:rPr>
      </w:pPr>
      <w:r>
        <w:rPr>
          <w:rFonts w:hint="eastAsia" w:ascii="宋体" w:hAnsi="宋体" w:eastAsia="宋体" w:cs="宋体"/>
          <w:b/>
          <w:sz w:val="24"/>
          <w:szCs w:val="20"/>
          <w:lang w:val="zh-CN"/>
        </w:rPr>
        <w:t>不予受理的情形</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val="zh-CN"/>
        </w:rPr>
      </w:pPr>
      <w:r>
        <w:rPr>
          <w:rFonts w:hint="eastAsia" w:ascii="宋体" w:hAnsi="宋体" w:eastAsia="宋体" w:cs="宋体"/>
          <w:sz w:val="24"/>
          <w:szCs w:val="20"/>
          <w:lang w:val="zh-CN"/>
        </w:rPr>
        <w:t>投标人未按本章“质疑及提交”规定的时限、内容及方式进行质疑的，集中采购机构不予受理。</w:t>
      </w:r>
    </w:p>
    <w:p>
      <w:pPr>
        <w:pStyle w:val="4"/>
        <w:pageBreakBefore w:val="0"/>
        <w:numPr>
          <w:ilvl w:val="0"/>
          <w:numId w:val="6"/>
        </w:numPr>
        <w:kinsoku/>
        <w:wordWrap/>
        <w:overflowPunct/>
        <w:topLinePunct w:val="0"/>
        <w:autoSpaceDE/>
        <w:autoSpaceDN/>
        <w:bidi w:val="0"/>
        <w:adjustRightInd/>
        <w:snapToGrid/>
        <w:spacing w:before="40" w:after="40" w:line="360" w:lineRule="auto"/>
        <w:ind w:left="868" w:leftChars="0" w:hanging="658" w:firstLineChars="0"/>
        <w:jc w:val="left"/>
        <w:textAlignment w:val="auto"/>
        <w:rPr>
          <w:rFonts w:hint="eastAsia" w:ascii="宋体" w:hAnsi="宋体" w:eastAsia="宋体" w:cs="宋体"/>
          <w:bCs w:val="0"/>
          <w:lang w:val="zh-CN" w:eastAsia="zh-CN"/>
        </w:rPr>
      </w:pPr>
      <w:bookmarkStart w:id="26" w:name="_Toc23887"/>
      <w:r>
        <w:rPr>
          <w:rFonts w:hint="eastAsia" w:ascii="宋体" w:hAnsi="宋体" w:eastAsia="宋体" w:cs="宋体"/>
          <w:bCs w:val="0"/>
          <w:lang w:val="zh-CN" w:eastAsia="zh-CN"/>
        </w:rPr>
        <w:t>相关条文解读</w:t>
      </w:r>
      <w:bookmarkEnd w:id="26"/>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政府采购法第二十二条第一款第五项所称重大违法记录，是指供应商因违法经营受到刑事处罚或者责令停产停业、吊销许可证或者执照、较大数额罚款</w:t>
      </w:r>
      <w:r>
        <w:rPr>
          <w:rFonts w:hint="eastAsia" w:ascii="宋体" w:hAnsi="宋体" w:eastAsia="宋体" w:cs="宋体"/>
          <w:kern w:val="0"/>
          <w:sz w:val="24"/>
          <w:szCs w:val="24"/>
        </w:rPr>
        <w:t>（《财政部关于&lt;条例&gt;第十九条第一款“较大数额罚款”具体适用问题的意见》（财库〔2022〕3号），明确《条例》第十九条第一款规定的“较大数额罚款”认定为200万元以上的罚款，法律、行政法规以及国务院有关部门明确规定相关领域“较大数额罚款”标准高于200万元的，从其规定）</w:t>
      </w:r>
      <w:r>
        <w:rPr>
          <w:rFonts w:hint="eastAsia" w:ascii="宋体" w:hAnsi="宋体" w:eastAsia="宋体" w:cs="宋体"/>
          <w:sz w:val="24"/>
          <w:szCs w:val="20"/>
          <w:lang w:val="zh-CN" w:eastAsia="zh-CN"/>
        </w:rPr>
        <w:t>等行政处罚。</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按照财政部《关于规范政府采购行政处罚有关问题的通知》的规定，各级人民政府财政部门依法对参加政府采购活动的供应商作出的禁止参加政府采购活动等行政处罚决定在全国范围内生效。</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供应商在参加政府采购活动前3年内因违法经营被禁止在一定期限内参加政府采购活动，期限届满的，可以参加政府采购活动。</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根据财政部《政府采购法实施条例》释义中关于供应商资格条件的解释，对于银行、保险、石油石化、电力、电信等有行业特殊情况的，采购人和集中采购机构允许</w:t>
      </w:r>
      <w:r>
        <w:rPr>
          <w:rFonts w:hint="eastAsia" w:ascii="宋体" w:hAnsi="宋体" w:eastAsia="宋体" w:cs="宋体"/>
          <w:sz w:val="24"/>
          <w:szCs w:val="20"/>
          <w:lang w:val="zh-CN"/>
        </w:rPr>
        <w:t>其分支机构</w:t>
      </w:r>
      <w:r>
        <w:rPr>
          <w:rFonts w:hint="eastAsia" w:ascii="宋体" w:hAnsi="宋体" w:eastAsia="宋体" w:cs="宋体"/>
          <w:sz w:val="24"/>
          <w:szCs w:val="20"/>
          <w:lang w:val="zh-CN" w:eastAsia="zh-CN"/>
        </w:rPr>
        <w:t>参与投标。</w:t>
      </w:r>
    </w:p>
    <w:p>
      <w:pPr>
        <w:pStyle w:val="4"/>
        <w:pageBreakBefore w:val="0"/>
        <w:numPr>
          <w:ilvl w:val="0"/>
          <w:numId w:val="6"/>
        </w:numPr>
        <w:kinsoku/>
        <w:wordWrap/>
        <w:overflowPunct/>
        <w:topLinePunct w:val="0"/>
        <w:autoSpaceDE/>
        <w:autoSpaceDN/>
        <w:bidi w:val="0"/>
        <w:adjustRightInd/>
        <w:snapToGrid/>
        <w:spacing w:before="40" w:after="40" w:line="360" w:lineRule="auto"/>
        <w:ind w:left="1176" w:leftChars="0" w:hanging="966" w:firstLineChars="0"/>
        <w:jc w:val="left"/>
        <w:textAlignment w:val="auto"/>
        <w:rPr>
          <w:rFonts w:hint="eastAsia" w:ascii="宋体" w:hAnsi="宋体" w:eastAsia="宋体" w:cs="宋体"/>
          <w:bCs w:val="0"/>
          <w:lang w:val="zh-CN" w:eastAsia="zh-CN"/>
        </w:rPr>
      </w:pPr>
      <w:bookmarkStart w:id="27" w:name="_Toc3471"/>
      <w:r>
        <w:rPr>
          <w:rFonts w:hint="eastAsia" w:ascii="宋体" w:hAnsi="宋体" w:eastAsia="宋体" w:cs="宋体"/>
          <w:bCs w:val="0"/>
          <w:lang w:val="zh-CN" w:eastAsia="zh-CN"/>
        </w:rPr>
        <w:t>适用法律</w:t>
      </w:r>
      <w:bookmarkEnd w:id="27"/>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eastAsia="zh-CN"/>
        </w:rPr>
      </w:pPr>
      <w:r>
        <w:rPr>
          <w:rFonts w:hint="eastAsia" w:ascii="宋体" w:hAnsi="宋体" w:eastAsia="宋体" w:cs="宋体"/>
          <w:sz w:val="24"/>
          <w:szCs w:val="20"/>
          <w:lang w:val="zh-CN" w:eastAsia="zh-CN"/>
        </w:rPr>
        <w:t>采购人、集中采购机构及投标人的一切招标投标活动均适用《政府采购法》、《政府采购法实施条例》、《政府采购货物和服务招标投标管理办法》及相关</w:t>
      </w:r>
      <w:r>
        <w:rPr>
          <w:rFonts w:hint="eastAsia" w:ascii="宋体" w:hAnsi="宋体" w:eastAsia="宋体" w:cs="宋体"/>
          <w:sz w:val="24"/>
          <w:szCs w:val="20"/>
          <w:lang w:val="zh-CN"/>
        </w:rPr>
        <w:t>法律法规</w:t>
      </w:r>
      <w:r>
        <w:rPr>
          <w:rFonts w:hint="eastAsia" w:ascii="宋体" w:hAnsi="宋体" w:eastAsia="宋体" w:cs="宋体"/>
          <w:sz w:val="24"/>
          <w:szCs w:val="20"/>
          <w:lang w:val="zh-CN" w:eastAsia="zh-CN"/>
        </w:rPr>
        <w:t>。</w:t>
      </w:r>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0"/>
          <w:lang w:val="zh-CN"/>
        </w:rPr>
      </w:pPr>
      <w:r>
        <w:rPr>
          <w:rFonts w:hint="eastAsia" w:ascii="宋体" w:hAnsi="宋体" w:eastAsia="宋体" w:cs="宋体"/>
          <w:kern w:val="0"/>
          <w:sz w:val="24"/>
          <w:szCs w:val="24"/>
          <w:lang w:val="zh-CN" w:eastAsia="zh-CN"/>
        </w:rPr>
        <w:t>政府采购合同的履行、违约责任和解决争议的方法等适用《</w:t>
      </w:r>
      <w:r>
        <w:rPr>
          <w:rFonts w:hint="eastAsia" w:ascii="宋体" w:hAnsi="宋体" w:eastAsia="宋体" w:cs="宋体"/>
          <w:kern w:val="0"/>
          <w:sz w:val="24"/>
          <w:szCs w:val="24"/>
          <w:lang w:eastAsia="zh-CN"/>
        </w:rPr>
        <w:t>民法典</w:t>
      </w:r>
      <w:r>
        <w:rPr>
          <w:rFonts w:hint="eastAsia" w:ascii="宋体" w:hAnsi="宋体" w:eastAsia="宋体" w:cs="宋体"/>
          <w:kern w:val="0"/>
          <w:sz w:val="24"/>
          <w:szCs w:val="24"/>
          <w:lang w:val="zh-CN" w:eastAsia="zh-CN"/>
        </w:rPr>
        <w:t>》。</w:t>
      </w:r>
    </w:p>
    <w:p>
      <w:pPr>
        <w:pStyle w:val="4"/>
        <w:pageBreakBefore w:val="0"/>
        <w:numPr>
          <w:ilvl w:val="0"/>
          <w:numId w:val="6"/>
        </w:numPr>
        <w:kinsoku/>
        <w:wordWrap/>
        <w:overflowPunct/>
        <w:topLinePunct w:val="0"/>
        <w:autoSpaceDE/>
        <w:autoSpaceDN/>
        <w:bidi w:val="0"/>
        <w:adjustRightInd/>
        <w:snapToGrid/>
        <w:spacing w:before="40" w:after="40" w:line="360" w:lineRule="auto"/>
        <w:ind w:left="1176" w:leftChars="0" w:hanging="966" w:firstLineChars="0"/>
        <w:jc w:val="left"/>
        <w:textAlignment w:val="auto"/>
        <w:rPr>
          <w:rFonts w:hint="eastAsia" w:ascii="宋体" w:hAnsi="宋体" w:eastAsia="宋体" w:cs="宋体"/>
          <w:bCs w:val="0"/>
          <w:lang w:val="zh-CN" w:eastAsia="zh-CN"/>
        </w:rPr>
      </w:pPr>
      <w:bookmarkStart w:id="28" w:name="_Toc22715"/>
      <w:r>
        <w:rPr>
          <w:rFonts w:hint="eastAsia" w:ascii="宋体" w:hAnsi="宋体" w:eastAsia="宋体" w:cs="宋体"/>
          <w:bCs w:val="0"/>
          <w:lang w:val="zh-CN" w:eastAsia="zh-CN"/>
        </w:rPr>
        <w:t>招标文件的解释权</w:t>
      </w:r>
      <w:bookmarkEnd w:id="28"/>
    </w:p>
    <w:p>
      <w:pPr>
        <w:pageBreakBefore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iCs/>
          <w:kern w:val="0"/>
          <w:sz w:val="28"/>
        </w:rPr>
      </w:pPr>
      <w:r>
        <w:rPr>
          <w:rFonts w:hint="eastAsia" w:ascii="宋体" w:hAnsi="宋体" w:eastAsia="宋体" w:cs="宋体"/>
          <w:sz w:val="24"/>
          <w:szCs w:val="20"/>
          <w:lang w:val="zh-CN" w:eastAsia="zh-CN"/>
        </w:rPr>
        <w:t>招标文件的最终解释权为采购人、集中采购机构所有。</w:t>
      </w:r>
    </w:p>
    <w:p>
      <w:pPr>
        <w:pageBreakBefore w:val="0"/>
        <w:widowControl/>
        <w:tabs>
          <w:tab w:val="right" w:leader="dot" w:pos="9514"/>
        </w:tabs>
        <w:kinsoku/>
        <w:wordWrap/>
        <w:overflowPunct/>
        <w:topLinePunct w:val="0"/>
        <w:autoSpaceDE/>
        <w:autoSpaceDN/>
        <w:bidi w:val="0"/>
        <w:adjustRightInd/>
        <w:snapToGrid/>
        <w:spacing w:line="360" w:lineRule="auto"/>
        <w:jc w:val="left"/>
        <w:textAlignment w:val="auto"/>
        <w:rPr>
          <w:rFonts w:hint="eastAsia" w:ascii="宋体" w:hAnsi="宋体" w:eastAsia="宋体" w:cs="宋体"/>
          <w:b/>
          <w:iCs/>
          <w:kern w:val="0"/>
          <w:sz w:val="28"/>
        </w:rPr>
        <w:sectPr>
          <w:pgSz w:w="11906" w:h="16838"/>
          <w:pgMar w:top="1134" w:right="1191" w:bottom="1134" w:left="1191" w:header="851" w:footer="992" w:gutter="0"/>
          <w:cols w:space="425" w:num="1"/>
          <w:docGrid w:type="lines" w:linePitch="312" w:charSpace="0"/>
        </w:sectPr>
      </w:pPr>
    </w:p>
    <w:bookmarkEnd w:id="17"/>
    <w:p>
      <w:pPr>
        <w:numPr>
          <w:ilvl w:val="0"/>
          <w:numId w:val="0"/>
        </w:numPr>
        <w:spacing w:line="360" w:lineRule="auto"/>
        <w:ind w:leftChars="0"/>
        <w:rPr>
          <w:rFonts w:ascii="宋体" w:hAnsi="宋体" w:eastAsia="宋体" w:cs="Times New Roman"/>
          <w:sz w:val="24"/>
          <w:szCs w:val="20"/>
          <w:lang w:val="zh-CN"/>
        </w:rPr>
      </w:pPr>
    </w:p>
    <w:bookmarkEnd w:id="15"/>
    <w:bookmarkEnd w:id="16"/>
    <w:p>
      <w:pPr>
        <w:pStyle w:val="3"/>
        <w:numPr>
          <w:ilvl w:val="0"/>
          <w:numId w:val="1"/>
        </w:numPr>
        <w:spacing w:before="240" w:after="120"/>
        <w:ind w:left="887" w:hanging="883" w:hangingChars="200"/>
        <w:jc w:val="center"/>
        <w:rPr>
          <w:rFonts w:ascii="黑体" w:hAnsi="黑体" w:eastAsia="黑体"/>
          <w:color w:val="auto"/>
        </w:rPr>
      </w:pPr>
      <w:bookmarkStart w:id="29" w:name="_Toc497725316"/>
      <w:bookmarkStart w:id="30" w:name="_Toc529980639"/>
      <w:bookmarkStart w:id="31" w:name="_Toc355985891"/>
      <w:bookmarkStart w:id="32" w:name="_Hlk23326455"/>
      <w:r>
        <w:rPr>
          <w:rFonts w:hint="eastAsia" w:ascii="黑体" w:hAnsi="黑体" w:eastAsia="黑体"/>
          <w:color w:val="auto"/>
        </w:rPr>
        <w:t xml:space="preserve"> </w:t>
      </w:r>
      <w:bookmarkStart w:id="33" w:name="_Toc16997"/>
      <w:r>
        <w:rPr>
          <w:rFonts w:hint="eastAsia" w:ascii="黑体" w:hAnsi="黑体" w:eastAsia="黑体"/>
          <w:color w:val="auto"/>
        </w:rPr>
        <w:t>项目技术、服务及商务要求</w:t>
      </w:r>
      <w:bookmarkEnd w:id="29"/>
      <w:bookmarkEnd w:id="30"/>
      <w:bookmarkEnd w:id="33"/>
    </w:p>
    <w:p>
      <w:pPr>
        <w:numPr>
          <w:ilvl w:val="0"/>
          <w:numId w:val="26"/>
        </w:numPr>
        <w:spacing w:line="360" w:lineRule="auto"/>
        <w:ind w:firstLine="480"/>
        <w:rPr>
          <w:rFonts w:ascii="宋体" w:hAnsi="宋体" w:cs="宋体"/>
          <w:b/>
          <w:bCs/>
          <w:sz w:val="28"/>
          <w:szCs w:val="28"/>
        </w:rPr>
      </w:pPr>
      <w:bookmarkStart w:id="34" w:name="_Toc508353991"/>
      <w:bookmarkStart w:id="35" w:name="_Toc495861534"/>
      <w:bookmarkStart w:id="36" w:name="_Toc494561953"/>
      <w:bookmarkStart w:id="37" w:name="_Toc49410661"/>
      <w:bookmarkStart w:id="38" w:name="_Toc497725318"/>
      <w:r>
        <w:rPr>
          <w:rFonts w:hint="eastAsia" w:ascii="宋体" w:hAnsi="宋体" w:cs="宋体"/>
          <w:b/>
          <w:bCs/>
          <w:sz w:val="28"/>
          <w:szCs w:val="28"/>
        </w:rPr>
        <w:t>采购清单</w:t>
      </w:r>
    </w:p>
    <w:p>
      <w:pPr>
        <w:spacing w:line="360" w:lineRule="auto"/>
        <w:ind w:firstLine="480" w:firstLineChars="200"/>
        <w:rPr>
          <w:rFonts w:hint="eastAsia" w:ascii="宋体" w:hAnsi="宋体" w:eastAsia="宋体" w:cs="宋体"/>
          <w:b/>
          <w:color w:val="auto"/>
          <w:sz w:val="24"/>
          <w:szCs w:val="24"/>
          <w:highlight w:val="none"/>
          <w:lang w:val="zh-CN" w:eastAsia="zh-CN"/>
        </w:rPr>
      </w:pPr>
      <w:r>
        <w:rPr>
          <w:rFonts w:hint="eastAsia" w:ascii="宋体" w:hAnsi="宋体" w:cs="宋体"/>
          <w:sz w:val="24"/>
          <w:szCs w:val="24"/>
        </w:rPr>
        <w:t xml:space="preserve"> </w:t>
      </w:r>
      <w:r>
        <w:rPr>
          <w:rFonts w:hint="eastAsia" w:ascii="宋体" w:hAnsi="宋体" w:eastAsia="宋体" w:cs="宋体"/>
          <w:color w:val="auto"/>
          <w:sz w:val="24"/>
          <w:szCs w:val="24"/>
          <w:highlight w:val="none"/>
          <w:lang w:val="zh-CN"/>
        </w:rPr>
        <w:t>说明：招标文件中“</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lang w:val="zh-CN"/>
        </w:rPr>
        <w:t>”标注的</w:t>
      </w:r>
      <w:r>
        <w:rPr>
          <w:rFonts w:hint="eastAsia" w:ascii="宋体" w:hAnsi="宋体" w:eastAsia="宋体" w:cs="宋体"/>
          <w:color w:val="auto"/>
          <w:sz w:val="24"/>
          <w:szCs w:val="24"/>
          <w:highlight w:val="none"/>
        </w:rPr>
        <w:t>技术、服务及商务要求</w:t>
      </w:r>
      <w:r>
        <w:rPr>
          <w:rFonts w:hint="eastAsia" w:ascii="宋体" w:hAnsi="宋体" w:eastAsia="宋体" w:cs="宋体"/>
          <w:color w:val="auto"/>
          <w:sz w:val="24"/>
          <w:szCs w:val="24"/>
          <w:highlight w:val="none"/>
          <w:lang w:val="zh-CN"/>
        </w:rPr>
        <w:t>，应满足或优于。</w:t>
      </w:r>
      <w:r>
        <w:rPr>
          <w:rFonts w:hint="eastAsia" w:ascii="宋体" w:hAnsi="宋体" w:eastAsia="宋体" w:cs="宋体"/>
          <w:b/>
          <w:color w:val="auto"/>
          <w:sz w:val="24"/>
          <w:szCs w:val="24"/>
          <w:highlight w:val="none"/>
          <w:lang w:val="zh-CN"/>
        </w:rPr>
        <w:t>本项目核心产品学生分体台式电脑。</w:t>
      </w:r>
      <w:r>
        <w:rPr>
          <w:rFonts w:hint="eastAsia" w:ascii="宋体" w:hAnsi="宋体" w:cs="宋体"/>
          <w:b/>
          <w:color w:val="auto"/>
          <w:sz w:val="24"/>
          <w:szCs w:val="24"/>
          <w:highlight w:val="none"/>
          <w:lang w:val="zh-CN"/>
        </w:rPr>
        <w:t>本项目核心产品为</w:t>
      </w:r>
      <w:r>
        <w:rPr>
          <w:rStyle w:val="236"/>
          <w:rFonts w:hint="eastAsia" w:ascii="宋体" w:hAnsi="宋体" w:eastAsia="宋体" w:cs="宋体"/>
          <w:b/>
          <w:bCs/>
          <w:color w:val="auto"/>
          <w:sz w:val="24"/>
          <w:szCs w:val="24"/>
          <w:highlight w:val="none"/>
        </w:rPr>
        <w:t>下一代防火墙</w:t>
      </w:r>
      <w:r>
        <w:rPr>
          <w:rStyle w:val="236"/>
          <w:rFonts w:hint="eastAsia" w:ascii="宋体" w:hAnsi="宋体" w:cs="宋体"/>
          <w:b/>
          <w:bCs/>
          <w:color w:val="auto"/>
          <w:sz w:val="24"/>
          <w:szCs w:val="24"/>
          <w:highlight w:val="none"/>
          <w:lang w:eastAsia="zh-CN"/>
        </w:rPr>
        <w:t>。</w:t>
      </w:r>
    </w:p>
    <w:tbl>
      <w:tblPr>
        <w:tblStyle w:val="31"/>
        <w:tblW w:w="9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1123"/>
        <w:gridCol w:w="5967"/>
        <w:gridCol w:w="480"/>
        <w:gridCol w:w="420"/>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序号</w:t>
            </w:r>
          </w:p>
        </w:tc>
        <w:tc>
          <w:tcPr>
            <w:tcW w:w="1123"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名称</w:t>
            </w:r>
          </w:p>
        </w:tc>
        <w:tc>
          <w:tcPr>
            <w:tcW w:w="5967"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内容</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数量</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单位</w:t>
            </w:r>
          </w:p>
        </w:tc>
        <w:tc>
          <w:tcPr>
            <w:tcW w:w="987"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b/>
                <w:color w:val="auto"/>
                <w:sz w:val="24"/>
                <w:szCs w:val="24"/>
                <w:highlight w:val="none"/>
              </w:rPr>
            </w:pPr>
            <w:r>
              <w:rPr>
                <w:rStyle w:val="236"/>
                <w:rFonts w:hint="eastAsia" w:ascii="宋体" w:hAnsi="宋体" w:eastAsia="宋体" w:cs="宋体"/>
                <w:b/>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下一代防火墙</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网络层吞吐量≥4G，应用层吞吐量≥1G，并发连接数≥100万，HTTP新建连接数≥2万，规格≥1U，接口≥6千兆电口+2千兆光口SFP。</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含：安全规制库更新3年，软硬件质保3年。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2</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日志审计</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性能：事件综合处理性能</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2000EPS。硬件规格：标准1U机箱，千兆电口</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6个，2个扩展插槽，1个Console接口， 硬盘</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2T；</w:t>
            </w:r>
            <w:r>
              <w:rPr>
                <w:rStyle w:val="236"/>
                <w:rFonts w:hint="eastAsia" w:ascii="宋体" w:hAnsi="宋体" w:eastAsia="宋体" w:cs="宋体"/>
                <w:color w:val="auto"/>
                <w:sz w:val="24"/>
                <w:szCs w:val="24"/>
                <w:highlight w:val="none"/>
              </w:rPr>
              <w:t>含：审计授权25个，软硬件质保3年。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3</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数据库审计</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专用硬件平台和安全操作系统，事件处理</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10000条/秒，内置</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4TB磁盘存储空间。标准1U机箱，双电源；接口千兆自</w:t>
            </w:r>
            <w:r>
              <w:rPr>
                <w:rStyle w:val="236"/>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6个适应电口，1个Console口，支持两个扩展槽位，支持液晶屏。</w:t>
            </w:r>
            <w:r>
              <w:rPr>
                <w:rStyle w:val="236"/>
                <w:rFonts w:hint="eastAsia" w:ascii="宋体" w:hAnsi="宋体" w:eastAsia="宋体" w:cs="宋体"/>
                <w:color w:val="auto"/>
                <w:sz w:val="24"/>
                <w:szCs w:val="24"/>
                <w:highlight w:val="none"/>
              </w:rPr>
              <w:t>含：软硬件质保3年。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4</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终端准入平台</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网络层吞吐量≥3Gb，应用层吞吐量≥300Mb，带宽性能≥200Mb，支持用户数≥800，每秒新建连接数≥1600，最大并发连接数≥80000，接口≥4千兆电口。</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含：终端准入授权100，软硬件质保3年。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5</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备份一体机</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规格2U，CPU：1颗Silver 4210R 2.4GHz，内存≥2*32GB，系统盘≥2*240GB，接口≥4千兆电口+4万兆光口。服务器缓存盘≥960G，服务器机械硬盘≥48T;</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含：备份容量授权48T，软硬件质保3年；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6</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网络版防病毒系统</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产品控制中心安全策略一体化：支持安全策略模板、一体化配置功能；全网风险可视：统一展示全网终端安全状态、威胁以及趋势信息；终端资产管理：提供终端资产盘点、信息收集、管理维护功能；</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含：管控中心1套，PC端授权100个，服务器端20套；</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套</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7</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上网行为管理</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网络层吞吐量≥3Gb，应用层吞吐量≥300Mb，支持用户数≥800，包转发率≥27Kpps，每秒新建连接数≥1600，最大并发连接数≥80000，接口≥4千兆电口。</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含：应用识别规则库3年，软硬件质保3年。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8"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8</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Web应用防火墙</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吞吐量≥800Mbps，应用层处理能力≥300Mbps，网络并发连接数≥40万，HTTP并发≥12万，HTTP新建连接数≥3500/s。标准1U机箱，1TB硬盘，千兆6个10/100/1000M自适应电口，2个千兆SFP插槽，2组bypass，1个Console口，2个USB口。Web安全保护8个站点。</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含：安全规制库更新3年，软硬件质保3年。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9</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安全感知管理平+流量探针</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网络层吞吐量≥1.5Gbps，接口≥6千兆电口+2万兆光口SFP+。</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含：安全规制库更新3年，软硬件质保3年。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10</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漏洞扫描</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1U标准机架设备，冗余电源；千兆电口≥6个，千兆光口≥2个；2个SFP插槽，1个console口和2个USB口，含200个WEB域名、无限IP地址数扫描授权</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11</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综合网管系统</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有线无线统一网络管理平台，采用SDN组网架构，千兆电口≥3。</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12</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交换机</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24千兆SFP光口，16个10/100/1000Base-T自适应电口（复用），4个万兆SFP+光口，2个20G QSFP光口；交换容量≥758Gbps/7.58Tbps，包转发率≥432Mpps；</w:t>
            </w:r>
          </w:p>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含：软硬件质保3年。</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13</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精密空调</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总冷量(kW)</w:t>
            </w:r>
            <w:r>
              <w:rPr>
                <w:rFonts w:hint="eastAsia" w:ascii="宋体" w:hAnsi="宋体" w:eastAsia="宋体" w:cs="宋体"/>
                <w:color w:val="auto"/>
                <w:sz w:val="24"/>
                <w:szCs w:val="24"/>
                <w:highlight w:val="none"/>
              </w:rPr>
              <w:t xml:space="preserve"> ≥12.5、上前送风、室内风机1、风量（m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/h）≥2850、加湿量（kg/h）≥4、加热量（kW）≥4、室内机最大尺寸650×550×1850</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台</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三年原厂质保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14</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七氟丙烷自动消防系统</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根据机房要求配置一套七氟炳烷气体消防灭火系统</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套</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三年质保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237"/>
              <w:tabs>
                <w:tab w:val="left" w:pos="567"/>
              </w:tabs>
              <w:ind w:firstLine="0" w:firstLineChars="0"/>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15</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安全集成服务</w:t>
            </w:r>
          </w:p>
        </w:tc>
        <w:tc>
          <w:tcPr>
            <w:tcW w:w="5967"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对全局网络系统进行规划、提供详细的项目实施方案、安全设备部署以及机房线路整理等</w:t>
            </w:r>
          </w:p>
        </w:tc>
        <w:tc>
          <w:tcPr>
            <w:tcW w:w="48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tabs>
                <w:tab w:val="left" w:pos="567"/>
              </w:tabs>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次</w:t>
            </w:r>
          </w:p>
        </w:tc>
        <w:tc>
          <w:tcPr>
            <w:tcW w:w="987"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w:t>
            </w:r>
          </w:p>
        </w:tc>
      </w:tr>
    </w:tbl>
    <w:p>
      <w:pPr>
        <w:pStyle w:val="2"/>
        <w:numPr>
          <w:ilvl w:val="0"/>
          <w:numId w:val="0"/>
        </w:numPr>
        <w:spacing w:before="40" w:after="40" w:line="360" w:lineRule="auto"/>
        <w:jc w:val="left"/>
        <w:outlineLvl w:val="1"/>
        <w:rPr>
          <w:rStyle w:val="236"/>
          <w:rFonts w:hint="eastAsia" w:ascii="宋体" w:hAnsi="宋体" w:eastAsia="宋体" w:cs="宋体"/>
          <w:b/>
          <w:bCs/>
          <w:sz w:val="24"/>
          <w:szCs w:val="24"/>
          <w:lang w:val="zh-CN"/>
        </w:rPr>
      </w:pPr>
      <w:bookmarkStart w:id="39" w:name="_Toc18183"/>
      <w:r>
        <w:rPr>
          <w:rStyle w:val="236"/>
          <w:rFonts w:hint="eastAsia" w:ascii="宋体" w:hAnsi="宋体" w:eastAsia="宋体" w:cs="宋体"/>
          <w:b/>
          <w:bCs/>
          <w:sz w:val="24"/>
          <w:szCs w:val="24"/>
          <w:lang w:val="zh-CN"/>
        </w:rPr>
        <w:t>二、</w:t>
      </w:r>
      <w:r>
        <w:rPr>
          <w:rStyle w:val="236"/>
          <w:rFonts w:hint="eastAsia" w:ascii="宋体" w:hAnsi="宋体" w:eastAsia="宋体" w:cs="宋体"/>
          <w:b/>
          <w:bCs/>
          <w:sz w:val="28"/>
          <w:szCs w:val="28"/>
          <w:lang w:val="zh-CN"/>
        </w:rPr>
        <w:t>项目概述及简介</w:t>
      </w:r>
      <w:bookmarkEnd w:id="39"/>
    </w:p>
    <w:p>
      <w:pPr>
        <w:numPr>
          <w:ilvl w:val="0"/>
          <w:numId w:val="27"/>
        </w:numPr>
        <w:rPr>
          <w:rFonts w:hint="eastAsia" w:ascii="宋体" w:hAnsi="宋体" w:eastAsia="宋体" w:cs="宋体"/>
          <w:sz w:val="24"/>
          <w:szCs w:val="24"/>
        </w:rPr>
      </w:pPr>
      <w:r>
        <w:rPr>
          <w:rFonts w:hint="eastAsia" w:ascii="宋体" w:hAnsi="宋体" w:eastAsia="宋体" w:cs="宋体"/>
          <w:sz w:val="24"/>
          <w:szCs w:val="24"/>
        </w:rPr>
        <w:t>项目背景：</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 xml:space="preserve">随着国家信息化发展战略的不断推进，信息资源已经成为代表国家综合国力的战略资源。信息资源的保护、信息化进程的健康发展是关乎国家安危、民族兴旺的大事。信息安全是保障国家主权、政治、经济、国防、社会安全和公民合法权益的重要保证。《中华人民共和国网络安全法》于2017年6月1日起施行。国家实行网络安全等级保护制度，网络安全等级保护制度是提高信息安全保障能力和水平，维护国家安全、社会稳定和公共利益，保障和促进信息化设计健康发展的一项基本制度，是开展信息安全保护工作的有效办法，是信息安全保护工作的发展方向。实行信息安全等级保护制度有利于在信息化设计过程中同步设计信息安全设施，保障信息安全与信息化设计相协调；有利于为信息系统安全设计和管理提供系统性、针对性、可行性的指导和服务，有效控制信息安全设计成本；能够强化和重点保障基础信息网络和关系国家安全、经济命脉、社会稳定等方面的重要系统的安全；能够明确国家、法人和其他组织、公民的信息安全责任，加强信息安全管理。实行信息安全等级保护制度具有重大的现实意义和战略意义，是国家对关键信息基础设施安全保护设计提出的强制性要求。 </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伴随着信息系统的快速发展，信息系统所面临的安全威胁日益复杂，新的技术应用也带来了新的威胁，用户对信息安全系统的需求与日俱增。从外部环境来看，信息安全已经成为近几年信息化建设的热点话题，如何保障信息系统的安全已经成为国家关注的焦点，随着等保2.0的发布，也对潜江市自然资源和规划局的网络安全提出了新的要求。为了尽快落实国家等级保护制度的相关要求，并进一步提升自身的安全防护能力，潜江市自然资源和规划局将按照统筹资源，重点保护，适度安全的原则，结合各安全域实际情况，按照“层层递进，纵深防御”的思想进行安全防护等级保护建设方案设计。</w:t>
      </w:r>
    </w:p>
    <w:p>
      <w:pPr>
        <w:rPr>
          <w:rStyle w:val="236"/>
          <w:rFonts w:hint="eastAsia" w:ascii="宋体" w:hAnsi="宋体" w:eastAsia="宋体" w:cs="宋体"/>
          <w:b/>
          <w:bCs/>
          <w:sz w:val="24"/>
          <w:szCs w:val="24"/>
        </w:rPr>
      </w:pPr>
      <w:r>
        <w:rPr>
          <w:rStyle w:val="236"/>
          <w:rFonts w:hint="eastAsia" w:ascii="宋体" w:hAnsi="宋体" w:eastAsia="宋体" w:cs="宋体"/>
          <w:b/>
          <w:bCs/>
          <w:sz w:val="24"/>
          <w:szCs w:val="24"/>
        </w:rPr>
        <w:t>2、项目建设目标：</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通过本项目建设，落实国家的信息安全等级保护政策、标准，提升信息系统的安全防御能力，增强系统管理人员的安全意识，提升潜江市自然资源和规划局在信息系统安全管理、维护的层次，保证信息系统的安全稳定运行。</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在技术建设上，确立自身信息安全等级保护策略及安全管理基线，通过采取对IT运维人员的安全认证与控制审计措施，实现对其全访问的控制及操作行为的记录审计；通过信息安全管理制度、安全管理机构、安全人员、系统建设及运维等建设完善，建立起信息安全管理体系，提高信息系统整体安全防护的水平，预防安全事件发生，最大限度降低安全问题所带来的损失，降低信息安全管理成本。具体技术方面目标如下：</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1）政策与标准合规性保障</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信息系统安全保障体系（等级保护）的建设过程及其成果完全依据核心业务信息系统特点、国家政策标准重要指导；最终达到国家信息和信息系统安全保护三级要求,并通过《信息系统安全等级保护基本要求》(以下简称《基本要求》)测评。</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2）构建适度安全保障体系</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确保信息系统在存储、传输和使用过程中安全，确保核心业务系统持续、稳定的运行，确保重要业务操作行为可审计，抵御恶意攻击、恶意代码、病毒等对信息系统攻击与破坏，防止对信息系统资源的非法、非授权访问。</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3） 提升安全风险的控制和评价能力，以及监管效率</w:t>
      </w:r>
    </w:p>
    <w:p>
      <w:pPr>
        <w:spacing w:line="360" w:lineRule="auto"/>
        <w:ind w:firstLine="480" w:firstLineChars="20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提升系统事前--&gt;事中--&gt;事后的综合防护能力和风险处置效率；明确包含针对突发事件及敏感时期信息的安全反应和自评估能力；扩展等级保护标准对于行业适用程度和附加收益。</w:t>
      </w:r>
    </w:p>
    <w:p>
      <w:pPr>
        <w:ind w:firstLine="420"/>
        <w:rPr>
          <w:rStyle w:val="236"/>
          <w:rFonts w:hint="eastAsia" w:ascii="宋体" w:hAnsi="宋体" w:eastAsia="宋体" w:cs="宋体"/>
          <w:color w:val="000000"/>
          <w:sz w:val="24"/>
          <w:szCs w:val="24"/>
        </w:rPr>
      </w:pPr>
      <w:r>
        <w:rPr>
          <w:rStyle w:val="236"/>
          <w:rFonts w:hint="eastAsia" w:ascii="宋体" w:hAnsi="宋体" w:eastAsia="宋体" w:cs="宋体"/>
          <w:color w:val="000000"/>
          <w:sz w:val="24"/>
          <w:szCs w:val="24"/>
        </w:rPr>
        <w:t>4） 建立整体安全管理体系，丰富应急响应预案，形成安全管理的长效机制</w:t>
      </w:r>
    </w:p>
    <w:p>
      <w:pPr>
        <w:spacing w:line="360" w:lineRule="auto"/>
        <w:ind w:firstLine="480" w:firstLineChars="200"/>
        <w:rPr>
          <w:rFonts w:hint="eastAsia" w:ascii="宋体" w:hAnsi="宋体" w:eastAsia="宋体" w:cs="宋体"/>
          <w:sz w:val="24"/>
          <w:szCs w:val="24"/>
        </w:rPr>
      </w:pPr>
      <w:r>
        <w:rPr>
          <w:rStyle w:val="236"/>
          <w:rFonts w:hint="eastAsia" w:ascii="宋体" w:hAnsi="宋体" w:eastAsia="宋体" w:cs="宋体"/>
          <w:color w:val="000000"/>
          <w:sz w:val="24"/>
          <w:szCs w:val="24"/>
        </w:rPr>
        <w:t>依据等级保护要求，切实满足信息系统管理的实际需要，合理设计管理体系，梳理管理制度，细化操作流程，建立起一套切实可行，满足规范的四级管理体系。同时建立以核心网络、核心业务、核心数据为中心的应急响应预案，确保安全管理在潜江市自然资源和规划局形成一个有方针，有政策，有手段，有检查，可持续改进的体系化模板。</w:t>
      </w:r>
    </w:p>
    <w:p>
      <w:pPr>
        <w:pStyle w:val="2"/>
        <w:numPr>
          <w:ilvl w:val="0"/>
          <w:numId w:val="0"/>
        </w:numPr>
        <w:spacing w:before="40" w:after="40" w:line="360" w:lineRule="auto"/>
        <w:jc w:val="left"/>
        <w:outlineLvl w:val="1"/>
        <w:rPr>
          <w:lang w:val="zh-CN"/>
        </w:rPr>
      </w:pPr>
      <w:bookmarkStart w:id="40" w:name="_Toc19113"/>
      <w:bookmarkStart w:id="41" w:name="_Toc1169"/>
      <w:r>
        <w:rPr>
          <w:rStyle w:val="236"/>
          <w:rFonts w:hint="eastAsia" w:ascii="宋体" w:hAnsi="宋体"/>
          <w:b/>
          <w:bCs/>
          <w:lang w:val="zh-CN"/>
        </w:rPr>
        <w:t>三、</w:t>
      </w:r>
      <w:r>
        <w:rPr>
          <w:rStyle w:val="236"/>
          <w:rFonts w:hint="eastAsia" w:ascii="宋体" w:hAnsi="宋体"/>
          <w:b/>
          <w:bCs/>
          <w:sz w:val="28"/>
          <w:szCs w:val="28"/>
          <w:lang w:val="zh-CN"/>
        </w:rPr>
        <w:t>国家</w:t>
      </w:r>
      <w:r>
        <w:rPr>
          <w:rStyle w:val="236"/>
          <w:rFonts w:hint="eastAsia" w:ascii="宋体" w:hAnsi="宋体"/>
          <w:b/>
          <w:bCs/>
          <w:color w:val="000000"/>
          <w:sz w:val="28"/>
          <w:szCs w:val="28"/>
          <w:lang w:val="zh-CN"/>
        </w:rPr>
        <w:t>相关行政主管部门颁布的强制标准、规范</w:t>
      </w:r>
      <w:bookmarkEnd w:id="40"/>
      <w:bookmarkEnd w:id="41"/>
    </w:p>
    <w:p>
      <w:pPr>
        <w:ind w:firstLine="420" w:firstLineChars="200"/>
        <w:rPr>
          <w:lang w:val="zh-CN"/>
        </w:rPr>
      </w:pPr>
      <w:r>
        <w:rPr>
          <w:rFonts w:hint="eastAsia"/>
          <w:lang w:val="zh-CN"/>
        </w:rPr>
        <w:t>采购内容需执行的国家相关标准、行业标准、地方标准或者其他标准、规范。</w:t>
      </w:r>
    </w:p>
    <w:tbl>
      <w:tblPr>
        <w:tblStyle w:val="31"/>
        <w:tblW w:w="9111" w:type="dxa"/>
        <w:tblInd w:w="0" w:type="dxa"/>
        <w:tblLayout w:type="fixed"/>
        <w:tblCellMar>
          <w:top w:w="0" w:type="dxa"/>
          <w:left w:w="0" w:type="dxa"/>
          <w:bottom w:w="0" w:type="dxa"/>
          <w:right w:w="0" w:type="dxa"/>
        </w:tblCellMar>
      </w:tblPr>
      <w:tblGrid>
        <w:gridCol w:w="555"/>
        <w:gridCol w:w="5389"/>
        <w:gridCol w:w="3167"/>
      </w:tblGrid>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序号</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名称</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标号戒文号</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1</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《计算机信息系统安全保护等级划分准则》</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GB 17859 -1999</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2</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《信息系统安全等级保护基本要求》</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GB/T 22239-2019</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3</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《中华人民共和国计算机信息系统安全保护条例》</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中华人民共和国国务院令第147号</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4</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《计算机病毒防治管理办法》</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公安部令第51 号</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5</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《国家通信网互联互通监控中心互联网监测系统技术要求》</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YD/T 2023 2013</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6</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《计算机软件文档编制规范》</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GB/T8567</w:t>
            </w:r>
          </w:p>
        </w:tc>
      </w:tr>
      <w:tr>
        <w:tblPrEx>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7</w:t>
            </w:r>
          </w:p>
        </w:tc>
        <w:tc>
          <w:tcPr>
            <w:tcW w:w="5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《计算机软件测试文档编制规范》</w:t>
            </w:r>
          </w:p>
        </w:tc>
        <w:tc>
          <w:tcPr>
            <w:tcW w:w="31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GB/T9386</w:t>
            </w:r>
          </w:p>
        </w:tc>
      </w:tr>
    </w:tbl>
    <w:p>
      <w:pPr>
        <w:numPr>
          <w:ilvl w:val="0"/>
          <w:numId w:val="0"/>
        </w:numPr>
        <w:spacing w:line="360" w:lineRule="auto"/>
        <w:ind w:left="420" w:leftChars="0"/>
        <w:rPr>
          <w:rFonts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技术服务内容</w:t>
      </w:r>
    </w:p>
    <w:p>
      <w:pPr>
        <w:spacing w:line="360" w:lineRule="auto"/>
        <w:ind w:firstLine="482" w:firstLineChars="200"/>
        <w:rPr>
          <w:rFonts w:hint="eastAsia" w:ascii="宋体" w:hAnsi="宋体" w:cs="宋体"/>
          <w:b/>
          <w:kern w:val="0"/>
          <w:sz w:val="24"/>
          <w:szCs w:val="24"/>
        </w:rPr>
      </w:pPr>
      <w:r>
        <w:rPr>
          <w:rFonts w:hint="eastAsia" w:ascii="宋体" w:hAnsi="宋体" w:cs="宋体"/>
          <w:b/>
          <w:kern w:val="0"/>
          <w:sz w:val="24"/>
          <w:szCs w:val="24"/>
        </w:rPr>
        <w:t>说明</w:t>
      </w:r>
      <w:r>
        <w:rPr>
          <w:rFonts w:hint="eastAsia" w:ascii="宋体" w:hAnsi="宋体" w:cs="宋体"/>
          <w:b/>
          <w:kern w:val="0"/>
          <w:szCs w:val="21"/>
        </w:rPr>
        <w:t>：</w:t>
      </w:r>
      <w:r>
        <w:rPr>
          <w:rFonts w:hint="eastAsia" w:ascii="宋体" w:hAnsi="宋体" w:cs="宋体"/>
          <w:b/>
          <w:kern w:val="0"/>
          <w:sz w:val="24"/>
          <w:szCs w:val="24"/>
        </w:rPr>
        <w:t>投标人在投标文件《技术服务要求响应、偏离说明表》中应对以下技术服务要求逐条进行响应描述或偏离说明。否则，其投标按照无效投标处理。</w:t>
      </w: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1、下一代防火墙</w:t>
      </w:r>
    </w:p>
    <w:tbl>
      <w:tblPr>
        <w:tblStyle w:val="31"/>
        <w:tblW w:w="9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70"/>
        <w:gridCol w:w="7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b/>
                <w:bCs/>
                <w:kern w:val="0"/>
                <w:sz w:val="24"/>
                <w:szCs w:val="24"/>
                <w:highlight w:val="none"/>
              </w:rPr>
            </w:pPr>
            <w:r>
              <w:rPr>
                <w:rStyle w:val="236"/>
                <w:rFonts w:hint="eastAsia" w:ascii="宋体" w:hAnsi="宋体" w:eastAsia="宋体" w:cs="宋体"/>
                <w:b/>
                <w:bCs/>
                <w:kern w:val="0"/>
                <w:sz w:val="24"/>
                <w:szCs w:val="24"/>
                <w:highlight w:val="none"/>
              </w:rPr>
              <w:t>技术指标</w:t>
            </w:r>
          </w:p>
        </w:tc>
        <w:tc>
          <w:tcPr>
            <w:tcW w:w="7566"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b/>
                <w:bCs/>
                <w:kern w:val="0"/>
                <w:sz w:val="24"/>
                <w:szCs w:val="24"/>
                <w:highlight w:val="none"/>
              </w:rPr>
            </w:pPr>
            <w:r>
              <w:rPr>
                <w:rStyle w:val="236"/>
                <w:rFonts w:hint="eastAsia" w:ascii="宋体" w:hAnsi="宋体" w:eastAsia="宋体" w:cs="宋体"/>
                <w:b/>
                <w:bCs/>
                <w:kern w:val="0"/>
                <w:sz w:val="24"/>
                <w:szCs w:val="24"/>
                <w:highlight w:val="none"/>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网络层吞吐量≥4G，应用层吞吐量≥1G，并发连接数≥100万，HTTP新建连接数≥2万，规格≥1U，接口≥6千兆电口+2千兆光口SFP。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部署方式</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产品支持路由模式、透明模式、虚拟网线模式、旁路镜像模式等多种部署方式。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路由调度</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产品支持策略路由负载，支持基于服务、ISP地址、应用、地域等维度进行智能选路，保证关键业务流量通过优质链路转发，支持加权流量、带宽比例、线路优先等负载均衡调度算法。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IPv6</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产品支持IPv6访问控制策略设置，基于IPv6的IP地址、服务、域名、应用、时间等条件设置访问控制策略。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访问控制</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产品支持与国家位置信息结合设置安全策略，识别流量发起的国家或地区的位置信息，根据流量发起的国家或地区的访问位置信息实现对不同区域访问的差异化控制。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restart"/>
            <w:tcBorders>
              <w:top w:val="single" w:color="000000" w:sz="4" w:space="0"/>
              <w:left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入侵防御</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产品支持僵尸主机检测功能，产品预定义特征库超过110万种，可识别主机的异常外联行为。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continue"/>
            <w:tcBorders>
              <w:left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产品预定义漏洞特征数量不少于7600种，支持在产品漏洞特征库中以漏洞名称、漏洞ID、漏洞CVE标识、危险等级和漏洞描述等条件快速查询特定漏洞特征信息，支持用户自定义IPS规则。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continue"/>
            <w:tcBorders>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产品支持未知威胁检测能力，需提供公安部计算机信息系统安全产品质量监督检验中心、中国信息安全测评中心、中华人民共和国国家版权局、公安部信息安全产品检测中心之中任意一家检测机构出具关于“未知威胁检测”的证书或检测报告。（提供相关产品证书或检测报告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restart"/>
            <w:tcBorders>
              <w:top w:val="single" w:color="000000" w:sz="4" w:space="0"/>
              <w:left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防病毒</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产品支持病毒例外特征设置，根据文件MD5值和文件URL设置病毒白名单，不对白名单进行病毒查杀。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continue"/>
            <w:tcBorders>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产品支持对多重压缩文件的病毒检测能力，支持不小于12层压缩文件病毒检测与处置。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账号安全</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产品支持用户账号全生命周期保护功能，包括用户账号多余入口检测、用户账号弱口令检测、用户账号暴力破解检测、失陷账号检测，防止因账号被暴力破解导致的非法提权情况发生。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产品联动</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产品支持与本次采购终端杀毒软件联动管理，在防火墙产品完成终端安全策略设置和内网终端安全软件的统一管理。支持与态势感知平台联动将本地防火墙产品产生的安全日志等数据上报至态势感知平台，并在态势感知平台进行威胁展示。（需提供产品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tcBorders>
              <w:top w:val="single" w:color="000000" w:sz="4" w:space="0"/>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策略生命周期管理</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产品支持策略生命周期管理功能，支持对安全策略修改的时间、原因、变更类型进行统一管理，便于策略的运维与管理。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restart"/>
            <w:tcBorders>
              <w:top w:val="single" w:color="000000" w:sz="4" w:space="0"/>
              <w:left w:val="single" w:color="000000" w:sz="4" w:space="0"/>
              <w:right w:val="single" w:color="000000" w:sz="4" w:space="0"/>
            </w:tcBorders>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要求所投防火墙产品具备IT产品信息安全认证证书EAL4增强级（提供相关证明材料）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170" w:type="dxa"/>
            <w:vMerge w:val="continue"/>
            <w:tcBorders>
              <w:left w:val="single" w:color="000000" w:sz="4" w:space="0"/>
              <w:bottom w:val="single" w:color="000000" w:sz="4" w:space="0"/>
              <w:right w:val="single" w:color="000000" w:sz="4" w:space="0"/>
            </w:tcBorders>
          </w:tcPr>
          <w:p>
            <w:pPr>
              <w:jc w:val="center"/>
              <w:rPr>
                <w:rStyle w:val="236"/>
                <w:rFonts w:hint="eastAsia" w:ascii="宋体" w:hAnsi="宋体" w:eastAsia="宋体" w:cs="宋体"/>
                <w:kern w:val="0"/>
                <w:sz w:val="24"/>
                <w:szCs w:val="24"/>
                <w:highlight w:val="none"/>
              </w:rPr>
            </w:pPr>
          </w:p>
        </w:tc>
        <w:tc>
          <w:tcPr>
            <w:tcW w:w="7566"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要求所投产品具备国家信息安全漏洞库兼容性资质证书</w:t>
            </w:r>
            <w:r>
              <w:rPr>
                <w:rFonts w:hint="eastAsia" w:ascii="宋体" w:hAnsi="宋体" w:eastAsia="宋体" w:cs="宋体"/>
                <w:sz w:val="24"/>
                <w:szCs w:val="24"/>
                <w:highlight w:val="none"/>
              </w:rPr>
              <w:t>（提供相关证明材料）</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2、日志审计</w:t>
      </w:r>
    </w:p>
    <w:tbl>
      <w:tblPr>
        <w:tblStyle w:val="31"/>
        <w:tblW w:w="973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87"/>
        <w:gridCol w:w="7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49" w:type="dxa"/>
            <w:tcBorders>
              <w:top w:val="single" w:color="000000" w:sz="4" w:space="0"/>
              <w:left w:val="single" w:color="000000" w:sz="4" w:space="0"/>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49" w:type="dxa"/>
            <w:tcBorders>
              <w:top w:val="single" w:color="000000" w:sz="4" w:space="0"/>
              <w:left w:val="single" w:color="000000" w:sz="4" w:space="0"/>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性能：事件综合处理性能</w:t>
            </w:r>
            <w:r>
              <w:rPr>
                <w:rStyle w:val="236"/>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2000EPS。硬件规格：标准1U机箱，千兆电口</w:t>
            </w:r>
            <w:r>
              <w:rPr>
                <w:rStyle w:val="236"/>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6个，2个扩展插槽，1个Console接口， 硬盘</w:t>
            </w:r>
            <w:r>
              <w:rPr>
                <w:rStyle w:val="236"/>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2T；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管理范围</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能够对企业和组织的IT资源中构成业务信息系统的各种网络设备、安全设备、安全系统、主机操作系统、虚拟化、云计算、数据库、中间件以及各种应用系统的日志、事件、告警等安全信息进行全面的审计。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审计对象</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支持审计各种网络设备、安全设备、主机操作系统、数据库、中间件、应用系统等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采集方式</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支持通过syslog、SNMP Trap、JDBC、Agent代理、WMI、(S)FTP、NetBIOS、文件\文件夹读取、</w:t>
            </w:r>
            <w:r>
              <w:rPr>
                <w:rFonts w:hint="eastAsia" w:ascii="宋体" w:hAnsi="宋体" w:eastAsia="宋体" w:cs="宋体"/>
                <w:b/>
                <w:bCs/>
                <w:color w:val="000000"/>
                <w:sz w:val="24"/>
                <w:szCs w:val="24"/>
                <w:highlight w:val="none"/>
              </w:rPr>
              <w:t>Kafka</w:t>
            </w:r>
            <w:r>
              <w:rPr>
                <w:rFonts w:hint="eastAsia" w:ascii="宋体" w:hAnsi="宋体" w:eastAsia="宋体" w:cs="宋体"/>
                <w:color w:val="000000"/>
                <w:sz w:val="24"/>
                <w:szCs w:val="24"/>
                <w:highlight w:val="none"/>
              </w:rPr>
              <w:t>等多种方式完成各种日志的收集功能；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支持对资产IP地址的地理信息进行管理，支持单个IP、IP段设置行政区及经纬度，支持地图显示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日志归一化</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支持采集归一化后的日志和保留原始日志，方便用户对关键日志快速定位，和事后取证；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对于原始日志的枚举字段，能够将原始的枚举值映射为系统统一的枚举值（必须提供枚举值映射的可视化编辑界面截图）；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color w:val="000000"/>
                <w:sz w:val="24"/>
                <w:szCs w:val="24"/>
                <w:highlight w:val="none"/>
              </w:rPr>
              <w:t>日志收集后进行字段和安全等级的归一化处理，系统归一化字段不少于95个字段,并支持动态扩展，扩展数量不限，扩展字段与原始字段具有相同功能，可参与统计分析、关联分析、报表生成等（截图证明）；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日志交互式分析</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系统具备全文检索的大数据处理能力，能够对事件进行非格式化的文本式处理，可将原始信息进行自动索引，快速搜索分析各类安全事件。系统提供即席查询功能，支持归一化字段及关键字搜索，从海量事件原始信息中获取与关键字匹配或部分匹配的所有事件。系统支持基于正则表达式的检索功能，用户可在搜索栏内输入正则表达式，系统可搜索出原始信息中与正则表达式相匹配的所有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color w:val="000000"/>
                <w:sz w:val="24"/>
                <w:szCs w:val="24"/>
                <w:highlight w:val="none"/>
              </w:rPr>
              <w:t>采用机器学习对原始日志进行聚类分析，能够对原始日志结构模式进行自动识别(无须范化)，使审计人员清晰了解采集的日志构成（必须提供截图）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日志综合展现</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仪表板支持自定义创建框架，用户根据需要在框架内添加不同的仪表板组件（数值、折线、面积、柱图、饼图、环状图、地图、组件、URL、文本、图片、列表等），支持组件位置自由摆放，组件大小自由拖曳等。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用户可根据需要随时调整已创建的仪表板，编辑仪表板展示条件，调整大小和位置、新增组件等；可针对仪表板的任一元素进行下钻，查看原始日志。（必须提供截图）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关联分析</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必须具备单事件关联和多事件关联，能够针对多个不同类型不同来源的安全事件进行综合关联分析；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支持对关联规则进行监控，了解该规则命中历史情况；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产品资质</w:t>
            </w: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公安部《计算机信息系统专用产品销售许可证》（提供相关证明材料）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提供至少三项产品相关专利（提供相关证明材料）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color w:val="000000"/>
                <w:sz w:val="24"/>
                <w:szCs w:val="24"/>
                <w:highlight w:val="none"/>
              </w:rPr>
              <w:t>专用SecOS操作系统，具有《计算机软件著作权登记证书》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187"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highlight w:val="none"/>
              </w:rPr>
            </w:pPr>
          </w:p>
        </w:tc>
        <w:tc>
          <w:tcPr>
            <w:tcW w:w="754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rPr>
              <w:t>厂商具备《FIDO联盟成员》资质；（提供相关证明材料）</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3、数据库审计</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专用硬件平台和安全操作系统，事件处理</w:t>
            </w:r>
            <w:r>
              <w:rPr>
                <w:rStyle w:val="236"/>
                <w:rFonts w:hint="eastAsia" w:ascii="宋体" w:hAnsi="宋体" w:eastAsia="宋体" w:cs="宋体"/>
                <w:sz w:val="24"/>
                <w:szCs w:val="24"/>
                <w:highlight w:val="none"/>
              </w:rPr>
              <w:t>≥</w:t>
            </w:r>
            <w:r>
              <w:rPr>
                <w:rFonts w:hint="eastAsia" w:ascii="宋体" w:hAnsi="宋体" w:eastAsia="宋体" w:cs="宋体"/>
                <w:sz w:val="24"/>
                <w:szCs w:val="24"/>
                <w:highlight w:val="none"/>
              </w:rPr>
              <w:t>10000条/秒，内置</w:t>
            </w:r>
            <w:r>
              <w:rPr>
                <w:rStyle w:val="236"/>
                <w:rFonts w:hint="eastAsia" w:ascii="宋体" w:hAnsi="宋体" w:eastAsia="宋体" w:cs="宋体"/>
                <w:sz w:val="24"/>
                <w:szCs w:val="24"/>
                <w:highlight w:val="none"/>
              </w:rPr>
              <w:t>≥</w:t>
            </w:r>
            <w:r>
              <w:rPr>
                <w:rFonts w:hint="eastAsia" w:ascii="宋体" w:hAnsi="宋体" w:eastAsia="宋体" w:cs="宋体"/>
                <w:sz w:val="24"/>
                <w:szCs w:val="24"/>
                <w:highlight w:val="none"/>
              </w:rPr>
              <w:t>4TB磁盘存储空间。标准1U机箱，双电源；接口千兆自</w:t>
            </w:r>
            <w:r>
              <w:rPr>
                <w:rStyle w:val="236"/>
                <w:rFonts w:hint="eastAsia" w:ascii="宋体" w:hAnsi="宋体" w:eastAsia="宋体" w:cs="宋体"/>
                <w:sz w:val="24"/>
                <w:szCs w:val="24"/>
                <w:highlight w:val="none"/>
              </w:rPr>
              <w:t>≥</w:t>
            </w:r>
            <w:r>
              <w:rPr>
                <w:rFonts w:hint="eastAsia" w:ascii="宋体" w:hAnsi="宋体" w:eastAsia="宋体" w:cs="宋体"/>
                <w:sz w:val="24"/>
                <w:szCs w:val="24"/>
                <w:highlight w:val="none"/>
              </w:rPr>
              <w:t>6个适应电口，1个Console口，支持两个扩展槽位，支持液晶屏。</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网络环境</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系统可同时支持IPv4和IPv6的网络环境下数据库的审计。</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部署方式</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可通过端口镜像（SPAN）或者分流器（TAP）模式旁路部署或Agent插件方式部署。</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审计功能</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rPr>
              <w:t>支持的数据库：Oracle、SQL-Server、DB2、Informix、Sybase、MySQL、PostgreSQL、达梦、人大金仓、南大通用Gbase、Caché、REDIS。（提供功能界面截图证明）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支持数据库嵌套、函数、脚本访问以及返回内容等审计；绑定变量：可审计通过隐藏用户名的绑定变量，动静态变量方式访问数据库，如：Varchar、Nvar char、int、short int、tinyint、bigint、float、guid、datetime、datetime2、image、Nvar char等。（提供功能界面截图证明）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B/S架构Http应用三层审计，可提取包括应用系统的人员工号（账号）的身份信息，精确定位到人，并可获取XML返回结果。支持C/S架构COM、COM+、DCOM组件的三层审计，可提取应用层工号（账号）的身份信息，精确定位到人；支持框架：tomcat、apache、weblogic、jboss（提供功能界面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rPr>
              <w:t>全面支持后关系型数据库Cache的审计，包括terminal、portal、studio、Sqlmanager、MedTrak等工具访问的审计，Portal可审计Sql语句、查询Global变量以及二者的返回内容，Terminal可审计M语句及返回内容，MedTrak可审计工号、操作报表以及二者的返回内容，studio可审计到编译、代码更改等操作，Sqlmanager可审计数据库账号和操作的sql语句。（提供功能界面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支持对HTTP、FTP、TELNET、SMTP、POP3、NFS协议的审计。</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审计策略</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审计策略支持18种以上分项响应条件；可支持数据库操作命令（包括select、create等14个命令）；语句长度、语句执行回应、语句执行时间、返回内容、返回行数、数据库名、应用账户、服务器端口、客户端操作系统主机名、客户端操作系统用户名、客户端MAC、客户端IP、客户端端口、客户端进程名、会话ID、关键字、时间（含开始结束日期）等</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支持重复操作的统计规则，一定时间内重复某项操作达到设定的统计次数，则触发审计告警。</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系统管理</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用户管理支持三权分立，系统提供了审计管理员、系统管理员、安全管理员分权的用户体系。</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资质要求</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公安部《计算机信息系统专用产品销售许可证》（提供相关证明材料）</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具备计算机软件著作权登记证书（提供相关证明材料）</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Style w:val="236"/>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rPr>
              <w:t>厂商具备中华人民共和国工业和信息化部颁发的《内容分发网络业务(CDN)》证书资质；（提供相关证明材料并加盖厂商公章）</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4、终端准入系统</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网络层吞吐量≥3Gb，应用层吞吐量≥300Mb，带宽性能≥200Mb，支持用户数≥800，每秒新建连接数≥1600，最大并发连接数≥80000，接口≥4千兆电口。</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终端安全检查</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支持20款以上主流杀毒软件的运行情况、软件版本、病毒库更新时间检查，对不满足检查要求的终端可重定向页面修复、弹窗提示、限制权限、禁止上网；</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补丁检查</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支持检查终端是否更新Windows重要补丁、指定补丁，对不满足检查要求的终端可弹窗提示；</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杀软流量检查</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无需安装客户端，通过流量状况检查10款以上主流杀毒软件的运行情况，对不满足检查要求的终端可重定向页面修复; （需提供产品功能截图证明）</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违规外联行为检查</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支持检查终端是否有PPPoe拨号、是否使用双网卡、是否使用无线网卡、4G网卡，对不满足检查要求的终端强制断网，支持向管理员告警，并弹窗提示用户;</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终端ACL管控</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支持设置终端访问地址白名单和黑名单，写入终端防火墙ACL策略，实现强访问管控;管控规则可离线生效</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外设管控与移动存储审计</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支持便携设备、存储设备、网络设备、蓝牙设备、摄像头、打印机的使用管控。</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U盘精细化管控</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支持对终端上U盘和移动硬盘接入设置可读写、拒绝、可读、告警; （需提供产品功能截图证明）</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外设白名单</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支持允许特定的外设（包括U盘/存储设备）在终端上使用，并提供批量获取硬件ID的工具;</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《终端接入控制（一级）安全专用产品销售许可证》（提供相关证明材料）</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为保证所投产品专业性，要求所投产品具备《网络关键设备和网络安全专用产品安全认证》证书。（提供证书复印件并加盖厂商公章）</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5、网络版杀毒软件</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产品形态</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产品可以纯软件交付，包含管理控制中心软件及终端客户端软件，其中管理控制中心可云化部署；同时也支持硬件管理平台交付</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支持客户端</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Windows PC 客户端支持：</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Windows XP/Windows Vista/Windows 7/Windows 8/Windows 8.1/Windows 10/ Windows 11；</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MAC系统版本支持：</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MAC 11.0/10.13/10.14/10.15；</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Windows 服务器客户端支持：</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Windows Server 2003/Windows Server 2008/Windows Server 2008 R2/Windows Server 2012/Windows Server 2016；</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Linux 服务器客户端支持：</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CentOS/Ubuntu/Debian/RHEL/SUSE/Red Flag Asianux Server/Oracle Linux；</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全网威胁展示</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采用B/S架构的管理控制中心，具备终端安全可视，终端统一管理，统一威胁处置，统一漏洞修复，威胁响应处置，日志记录与查询等功能</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支持全网风险展示，包括但不限于未处理的勒索病毒数量、暴力破解数量、WebShell后门数量、高危漏洞及其各自影响的终端数量（需提供产品功能截图证明）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支持同时展示跟同品牌下一代防火墙、安全感知平台、上网行为管理，云端SOC平台，SAAS化管理平台、等保合规工具平台的联动状态（需提供产品功能截图证明）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终端配置管理</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支持全网视角的终端资产统一清点，清点信息包括操作系统、应用软件、监听端口和主机账户，其中操作系统、应用软件和监听端口支持从资产和终端两个视角进行统计和展示</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对系统账号信息进行梳理，了解账号权限分布概况以及风险账号分布情况，可按照隐藏账号、弱密码账号、可疑root权限账号、长期未使用账号、夜间登录、多IP登录进行账号分类查看，支持统计最近一年未修改密码的账户</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威胁防御</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基于勒索病毒攻击过程，建立多维度立体防护机制，提供事前入侵防御-事中反加密-事后检测响应的完整防护体系，展示勒索病毒处置情况，对勒索病毒及变种实现专门有效防御</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一键式操作对指定终端/终端组进行合规性检查，包括身份鉴别、访问控制、安全审计、剩余信息保护、入侵防范、恶意代码防范，对不合规的检查项提供设置建议，并可视化展示终端的基线合规检查结果（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所投网络版杀毒软件提供赛可达实验室产品测试报告（提供相关证明材料）</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提供国际权威机构AV-Test出具的测试报告，至少含有两项是满分（提供证书复印件并加盖厂商公章）</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提供国家计算机病毒应急处理中心计算机病毒防治产品检验实验室出具的检验报告（提供相关证明材料并加盖厂商公章）</w:t>
            </w:r>
          </w:p>
        </w:tc>
      </w:tr>
    </w:tbl>
    <w:p>
      <w:pPr>
        <w:rPr>
          <w:rFonts w:hint="eastAsia" w:ascii="宋体" w:hAnsi="宋体" w:eastAsia="宋体" w:cs="宋体"/>
          <w:sz w:val="24"/>
          <w:szCs w:val="24"/>
          <w:highlight w:val="none"/>
        </w:rPr>
      </w:pP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6、备份一体机</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规格2U，CPU：1颗Silver 4210R 2.4GHz，内存≥2*32GB，系统盘≥2*240GB，接口≥4千兆电口+4万兆光口。服务器缓存盘≥960G，服务器机械硬盘≥48T;</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备份类型</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支持Windows、Linux下全量、增量、差异等文件备份方式，支持加密传输，提高传输的安全性；</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支持文件备份代理分组功能，提高创建批量文件备份任务的效率；</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数据库类型</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支持Oracle、SQL Server、MySQL、达梦等主流数据库的在线备份，支持全量、增量、差异或日志备份，支持数据库原机或异机恢复；</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备份记录</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lang w:eastAsia="zh-CN"/>
              </w:rPr>
              <w:t>▲</w:t>
            </w:r>
            <w:r>
              <w:rPr>
                <w:rStyle w:val="236"/>
                <w:rFonts w:hint="eastAsia" w:ascii="宋体" w:hAnsi="宋体" w:eastAsia="宋体" w:cs="宋体"/>
                <w:kern w:val="0"/>
                <w:sz w:val="24"/>
                <w:szCs w:val="24"/>
                <w:highlight w:val="none"/>
              </w:rPr>
              <w:t>支持按时间段或指定时间点查询实时备份数据库的详细操作记录，可以精确到数据库SQL语句，提供1秒内5条以上数据库日志查询记录；（提供产品功能截图）</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异地备份</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支持数据副本复制功能，备份系统可以将数据通过复制的方式将本地备份数据传输到远端或异地备份系统中，支持一对一、一对多等方式，并且可以使用异地备份系统直接恢复数据，无需回传；</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 xml:space="preserve">支持多种链路的备份及恢复，包含但不限于网络传输、LAN-Free、加密传输等方式，针对不同的环境提高备份或恢复的安全及性能； </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备份任务回滚</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 xml:space="preserve">支持配置滚动备份任务，备份时最小可以设置15分钟滚动备份间隔，提高数据备份频率；（提供产品功能截图） </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备份策略</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支持备份策略组管理功能，策略组可以但不限于对时间、存储、保留策略进行配置，在建立备份或恢复任务时可以直接调取策略组的策略，提高备份及恢复的操作便携度；</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虚拟机备份</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lang w:eastAsia="zh-CN"/>
              </w:rPr>
              <w:t>▲</w:t>
            </w:r>
            <w:r>
              <w:rPr>
                <w:rStyle w:val="236"/>
                <w:rFonts w:hint="eastAsia" w:ascii="宋体" w:hAnsi="宋体" w:eastAsia="宋体" w:cs="宋体"/>
                <w:kern w:val="0"/>
                <w:sz w:val="24"/>
                <w:szCs w:val="24"/>
                <w:highlight w:val="none"/>
              </w:rPr>
              <w:t>虚拟机即时恢复功能：针对VMware vSphere、Citrix XenServer、、H3C CAS/UIS深信服HCI，云轴ZStack、等平台支持快速挂载恢复功能，无论虚拟机磁盘的容量有多大，可以1分钟内将这些平台备份的虚拟机恢复到平台中并运行起来；（提供产品功能截图）</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所投产品的生产厂商的软件研发实力具备CMMI L5认证。（提供证书复印件并加盖厂商公章）</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tcPr>
          <w:p>
            <w:pPr>
              <w:jc w:val="left"/>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提供产品销售许可证（提供相关证明材料）</w:t>
            </w:r>
          </w:p>
        </w:tc>
      </w:tr>
    </w:tbl>
    <w:p>
      <w:pPr>
        <w:rPr>
          <w:rFonts w:hint="eastAsia" w:ascii="宋体" w:hAnsi="宋体" w:eastAsia="宋体" w:cs="宋体"/>
          <w:sz w:val="24"/>
          <w:szCs w:val="24"/>
          <w:highlight w:val="none"/>
        </w:rPr>
      </w:pP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7、上网行为管理</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网络层吞吐量≥3Gb，应用层吞吐量≥300Mb，支持用户数≥800，包转发率≥27Kpps，每秒新建连接数≥1600，最大并发连接数≥80000，接口≥4千兆电口。</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部署方式</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支持网关模式、网桥模式、旁路模式、多主模式等多种部署方式。</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实时监控</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提供设备实时CPU、内存、磁盘占有率、在线用户数、系统时间、网络接口等信息；</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1.针对内网用户的web访问质量进行检测，对整体网络提供清晰的整体网络质量评级;2.支持以列表形式展示访问质量差的用户名单;3.支持对单用户进行定向web访问质量检测; （需提供产品功能截图证明）</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用户管理</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支持为用户添加自定义属性（职位、临时项目组、邮件组等），能够根据用户属性自动归类并可以针对用户属性配置上网权限策略、流控策略，审计策略等;</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认证方式</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支持企业微信、MOA、钉钉 这三个平台支持同步组织结构，用户通过企业微信、MOA、钉钉认证上线，本地会创建与认证服务器上对应的用户组，用户会上线到对应创建的组；（需提供产品功能截图证明）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支持通过OAuth认证协议对接，支持阿里钉钉，口袋助理，企业微信第三方账号授权认证；（需提供产品功能截图证明）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上网管控</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设备内置海量预分类的URL地址库，能够针对各种URL类型做识别和分类，同时所有URL类型都支持区分“网站浏览”、“文件上传”、“其他上传”、“HTTPS”等细分行为并分别做权限控制;</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1.设备内置应用识别规则库，支持不少于9000条应用规则数，支持不少于6000种的应用，并保持每两个星期更新一次，保证应用识别的准确率；2.支持根据标签选择应用，并支持给每个应用自定义标签；3.支持根据标签选择一类应用做控制；（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支持Teamviewer、向日葵、Anydesk、RDP的远程应用的外发文件审计；</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流量管理</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 xml:space="preserve">支持在设置流量策略后，根据整体线路或者某流量通道内的空闲情况，自动启用和停止使用流量控制策略，以提升带宽的高使用率；空闲值可自定义; </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日志管理</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设备必须支持内置数据中心和独立数据中心；</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数据分析应用</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 xml:space="preserve">数据中心可以对上网日志进行大数据分析，并支持多个大数据分析模型，包括全网上网态势分析、办公网上网态势分析、带宽分析、专线质量分析、未关机检测分析、图书馆资源优化，可导出报表; </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中国信息安全认证中心ISCCC《IT产品信息安全产品认证证书》</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产品具备《国家信息安全测评/ 信息技术产品安全测评证书（EAL3级或以上）》证书（提供证书复印件并加盖厂商公章）</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国家应急中心应急支撑单位CNCERT证书（国家级）（提供相关证明材料并加盖厂商公章）</w:t>
            </w:r>
          </w:p>
        </w:tc>
      </w:tr>
    </w:tbl>
    <w:p>
      <w:pPr>
        <w:rPr>
          <w:rFonts w:hint="eastAsia" w:ascii="宋体" w:hAnsi="宋体" w:eastAsia="宋体" w:cs="宋体"/>
          <w:sz w:val="24"/>
          <w:szCs w:val="24"/>
          <w:highlight w:val="none"/>
        </w:rPr>
      </w:pP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8、web应用防火墙</w:t>
      </w:r>
    </w:p>
    <w:tbl>
      <w:tblPr>
        <w:tblStyle w:val="31"/>
        <w:tblW w:w="973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4"/>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络吞吐量≥800Mbps，应用层处理能力≥300Mbps，网络并发连接数≥40万，HTTP并发≥12万，HTTP新建连接数≥3500/s。标准1U机箱，1TB硬盘，千兆6个10/100/1000M自适应电口，2个千兆SFP插槽，2组bypass，1个Console口，2个USB口。Web安全保护8个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部署模式</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产品具备支持旁路流量牵引部署方式，通过BGP路由牵引和SNAT回注方式对流量进行过滤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自学习系统</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产品具备自学习系统，无需人工干预，自动获取网站相关信息（请提供相应截图证明）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restart"/>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Web安全</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产品具备内置有标准特征库，并且可以自定义特征，定义检查方向、严重级别、Web攻击特征等信息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continue"/>
            <w:noWrap/>
            <w:vAlign w:val="center"/>
          </w:tcPr>
          <w:p>
            <w:pPr>
              <w:jc w:val="center"/>
              <w:rPr>
                <w:rStyle w:val="236"/>
                <w:rFonts w:hint="eastAsia" w:ascii="宋体" w:hAnsi="宋体" w:eastAsia="宋体" w:cs="宋体"/>
                <w:kern w:val="0"/>
                <w:sz w:val="24"/>
                <w:szCs w:val="24"/>
                <w:highlight w:val="none"/>
              </w:rPr>
            </w:pP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产品具备支持SQL注入、跨站脚本、防爬虫、扫描器、信息泄露、溢出、协议完整性等至少7种知识库展示说明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continue"/>
            <w:noWrap/>
            <w:vAlign w:val="center"/>
          </w:tcPr>
          <w:p>
            <w:pPr>
              <w:jc w:val="center"/>
              <w:rPr>
                <w:rStyle w:val="236"/>
                <w:rFonts w:hint="eastAsia" w:ascii="宋体" w:hAnsi="宋体" w:eastAsia="宋体" w:cs="宋体"/>
                <w:kern w:val="0"/>
                <w:sz w:val="24"/>
                <w:szCs w:val="24"/>
                <w:highlight w:val="none"/>
              </w:rPr>
            </w:pP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产品具备防暴力破解功能，可支持攻击阈值或动态令牌的方式实现暴力破解防护（请提供相应截图证明）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restart"/>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网页防篡改</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产品具备支持windows、linux的32位与64位操作系统的网页防篡改功能，并提供相应的客户端下载功能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continue"/>
            <w:noWrap/>
            <w:vAlign w:val="center"/>
          </w:tcPr>
          <w:p>
            <w:pPr>
              <w:jc w:val="center"/>
              <w:rPr>
                <w:rStyle w:val="236"/>
                <w:rFonts w:hint="eastAsia" w:ascii="宋体" w:hAnsi="宋体" w:eastAsia="宋体" w:cs="宋体"/>
                <w:kern w:val="0"/>
                <w:sz w:val="24"/>
                <w:szCs w:val="24"/>
                <w:highlight w:val="none"/>
              </w:rPr>
            </w:pP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产品具备网页防篡改客户端与Web应用防火墙实时联动，支持断点检测状态检测机制（请提供相应截图证明）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restart"/>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安全情报</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产品具备支持安全情报中心功能，支持FTP或API方式进行关联（请提供相应截图证明）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continue"/>
            <w:noWrap/>
            <w:vAlign w:val="center"/>
          </w:tcPr>
          <w:p>
            <w:pPr>
              <w:jc w:val="center"/>
              <w:rPr>
                <w:rStyle w:val="236"/>
                <w:rFonts w:hint="eastAsia" w:ascii="宋体" w:hAnsi="宋体" w:eastAsia="宋体" w:cs="宋体"/>
                <w:kern w:val="0"/>
                <w:sz w:val="24"/>
                <w:szCs w:val="24"/>
                <w:highlight w:val="none"/>
              </w:rPr>
            </w:pP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产品具备对安全情报中心提供的相关数据运用到产品防护策略中，并提供僵尸网络、扫描器、恶意IP等防护类型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终端管理</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产品具备移动终端对设备的一键管控功能，提供网站一键下线的终端应急措施（请提供相应截图证明）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restart"/>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vAlign w:val="center"/>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计算机信息系统安全专用产品销售许可证（提供相关证明材料）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2204" w:type="dxa"/>
            <w:vMerge w:val="continue"/>
            <w:noWrap/>
            <w:vAlign w:val="center"/>
          </w:tcPr>
          <w:p>
            <w:pPr>
              <w:jc w:val="center"/>
              <w:rPr>
                <w:rStyle w:val="236"/>
                <w:rFonts w:hint="eastAsia" w:ascii="宋体" w:hAnsi="宋体" w:eastAsia="宋体" w:cs="宋体"/>
                <w:kern w:val="0"/>
                <w:sz w:val="24"/>
                <w:szCs w:val="24"/>
                <w:highlight w:val="none"/>
              </w:rPr>
            </w:pPr>
          </w:p>
        </w:tc>
        <w:tc>
          <w:tcPr>
            <w:tcW w:w="7530" w:type="dxa"/>
            <w:vAlign w:val="center"/>
          </w:tcPr>
          <w:p>
            <w:pPr>
              <w:jc w:val="left"/>
              <w:rPr>
                <w:rStyle w:val="236"/>
                <w:rFonts w:hint="eastAsia" w:ascii="宋体" w:hAnsi="宋体" w:eastAsia="宋体" w:cs="宋体"/>
                <w:kern w:val="0"/>
                <w:sz w:val="24"/>
                <w:szCs w:val="24"/>
                <w:highlight w:val="none"/>
              </w:rPr>
            </w:pPr>
            <w:r>
              <w:rPr>
                <w:rFonts w:hint="eastAsia" w:ascii="宋体" w:hAnsi="宋体" w:eastAsia="宋体" w:cs="宋体"/>
                <w:color w:val="000000"/>
                <w:sz w:val="24"/>
                <w:szCs w:val="24"/>
                <w:highlight w:val="none"/>
              </w:rPr>
              <w:t>国家信息测评中心 EAL 3+级资质（提供相关证明材料）</w:t>
            </w:r>
          </w:p>
        </w:tc>
      </w:tr>
    </w:tbl>
    <w:p>
      <w:pPr>
        <w:rPr>
          <w:rFonts w:hint="eastAsia" w:ascii="宋体" w:hAnsi="宋体" w:eastAsia="宋体" w:cs="宋体"/>
          <w:sz w:val="24"/>
          <w:szCs w:val="24"/>
          <w:highlight w:val="none"/>
        </w:rPr>
      </w:pP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9、态势感知平台+流量探针</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网络层吞吐量≥1.5Gbps，接口≥6千兆电口+2万兆光口SFP+。</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部署方式</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旁路部署，支持探针同时接入多个镜像口，每个口相互独立不影响。</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全网安全态势大屏可视</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简述系统基于审计的流量元数据，利用机器学习、人工智能、威胁情报、沙盒检测、特征分析等方法进行威胁检测的整个过程。同时，能以安全事件视角和服务器/终端视角直观的看清内网安全状况。（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支持大屏展示全网安全事件风险状况，包括安全事件、事件等级分布、安全事件态势、安全事件TOP5、威胁面最大的事件TOP10、事件类型TOP5、风险业务/终端TOP5。（需提供产品功能截图证明）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监控中心</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支持展示CPU、内存、磁盘利用率进行实时监控，同时支持对核心的资源占用率进行实时分析。（需提供产品功能截图证明）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支持对近期网络安全行业中发生的热点流行事件进行原理介绍及概览展示，通过该功能，快速感知当前网络是否感染热点安全事件。（需提供产品功能截图证明）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告警中心</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具备失陷(业务和服务器)主机详细分析，包含攻击阶段分布、风险等级趋势、安全事件举证、开放端口等信息。攻击阶段包含存在漏洞、遭受攻击、C&amp;C通信、黑产牟利、内网扫描、内网扩散、盗取数据支持对每个安全事件详细举证分析，包含风险危害、处置建议、专杀工具等</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不区分主机类型，仅以安全事件的视角，展示发生的所有安全事件。将发生的所有安全事件默认按照处置状态，威胁等级，确定性等级，时间这四个字段排序，并结合事件类型、攻击结果、攻击阶段、处置状态、事件统计和事件趋势等进行统计和过滤显示、可设置关注的安全事件，可实时监控发生的安全事件，能复制攻击IP、XFF代理，并能够基于HTTP状态码进行事件筛选。（需提供截图证明并加盖原厂商公章）</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分析中心</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对主流挖矿协议、矿池地址识别检测，挖矿病毒下载行为进行检测，挖矿配置文件下载识别等手法，针对主流的挖矿病毒的恶意流量通过智能分析进行聚类并提取相关指纹进行检测支持各大挖矿家族的变种识别。针对挖矿做专项性分析，比如挖矿的币种分布，威胁趋势分析。</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对隐蔽隧道的告警做专项性分析，比如攻击者利用哪些协议进行隐蔽通信以及威胁趋势分析，将发生的所有安全事件默认按照处置状态，威胁等级，确定性等级，攻击结果、事件类型等维度进行筛选展示，并结合攻击阶段、事件统计和事件趋势等进行统计和显示、可实时监控发生的安全事件。（需提供产品功能截图证明）</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攻击阶段展示安全事件，攻击阶段分为存在漏洞、遭受攻击、C&amp;C通信、黑产牟利、内网探测、内网扩散攻击、盗取数据，将发生的所有安全事件默认按照处置状态，威胁等级，确定性等级，攻击结果、事件类型等维度进行筛选展示，并结合攻击阶段、事件统计和事件趋势等进行统计和显示、可实时监控发生的安全事件，能复制攻击IP、XFF代理，并展示事件域名、http状态码辅助进行事件分析（需提供产品功能截图证明）</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资产中心</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检测7类以上常见协议FTP、LADP、MYSQL、POP3、SMTP、TELNET、WEB等的弱密码，支持镜像流量检测业务系统中的弱密码，检测列表包含账号、密码、服务器、所属分析和业务、最近登录源IP、类型、最近发现时间等信息，密码星号显示需超级管理员才可查看，并支持储存数据包内容（需提供产品功能截图证明）</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auto"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设备联动</w:t>
            </w:r>
          </w:p>
        </w:tc>
        <w:tc>
          <w:tcPr>
            <w:tcW w:w="7530" w:type="dxa"/>
            <w:tcBorders>
              <w:top w:val="single" w:color="000000" w:sz="4" w:space="0"/>
              <w:left w:val="nil"/>
              <w:bottom w:val="single" w:color="auto" w:sz="4" w:space="0"/>
              <w:right w:val="single" w:color="000000" w:sz="4" w:space="0"/>
            </w:tcBorders>
          </w:tcPr>
          <w:p>
            <w:pP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支持与同品牌终端EDR组件联动响应，支持联动EDR对主机下发全盘/快速扫描，且可对发现的威胁文件进行隔离/信任等操作。</w:t>
            </w:r>
          </w:p>
          <w:p>
            <w:pP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支持与同品牌防火墙进行联动响应，支持系统下发安全策略到防火墙上，阻断攻击流量。</w:t>
            </w:r>
          </w:p>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（需提供产品功能截图证明）</w:t>
            </w:r>
          </w:p>
        </w:tc>
      </w:tr>
      <w:tr>
        <w:tblPrEx>
          <w:tblCellMar>
            <w:top w:w="0" w:type="dxa"/>
            <w:left w:w="0" w:type="dxa"/>
            <w:bottom w:w="0" w:type="dxa"/>
            <w:right w:w="0" w:type="dxa"/>
          </w:tblCellMar>
        </w:tblPrEx>
        <w:trPr>
          <w:trHeight w:val="251" w:hRule="atLeast"/>
        </w:trPr>
        <w:tc>
          <w:tcPr>
            <w:tcW w:w="220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auto" w:sz="4" w:space="0"/>
              <w:left w:val="single" w:color="auto" w:sz="4" w:space="0"/>
              <w:bottom w:val="single" w:color="auto" w:sz="4" w:space="0"/>
              <w:right w:val="single" w:color="auto" w:sz="4" w:space="0"/>
            </w:tcBorders>
          </w:tcPr>
          <w:p>
            <w:pP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lang w:eastAsia="zh-CN"/>
              </w:rPr>
              <w:t>▲</w:t>
            </w:r>
            <w:r>
              <w:rPr>
                <w:rStyle w:val="236"/>
                <w:rFonts w:hint="eastAsia" w:ascii="宋体" w:hAnsi="宋体" w:eastAsia="宋体" w:cs="宋体"/>
                <w:kern w:val="0"/>
                <w:sz w:val="24"/>
                <w:szCs w:val="24"/>
                <w:highlight w:val="none"/>
              </w:rPr>
              <w:t>所投厂商需为国家信息安全漏洞共享平台CNVD用户组、技术组成员，需同时满足。（提供证书复印件并加盖厂商公章）</w:t>
            </w:r>
          </w:p>
        </w:tc>
      </w:tr>
      <w:tr>
        <w:tblPrEx>
          <w:tblCellMar>
            <w:top w:w="0" w:type="dxa"/>
            <w:left w:w="0" w:type="dxa"/>
            <w:bottom w:w="0" w:type="dxa"/>
            <w:right w:w="0" w:type="dxa"/>
          </w:tblCellMar>
        </w:tblPrEx>
        <w:trPr>
          <w:trHeight w:val="251" w:hRule="atLeast"/>
        </w:trPr>
        <w:tc>
          <w:tcPr>
            <w:tcW w:w="220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auto" w:sz="4" w:space="0"/>
              <w:left w:val="single" w:color="auto" w:sz="4" w:space="0"/>
              <w:bottom w:val="single" w:color="auto" w:sz="4" w:space="0"/>
              <w:right w:val="single" w:color="auto" w:sz="4" w:space="0"/>
            </w:tcBorders>
          </w:tcPr>
          <w:p>
            <w:pP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为体现所投产品在安全管理和运营方面的可信能力，要求所投产品厂商具备可信云安全运营中心认证。</w:t>
            </w:r>
            <w:r>
              <w:rPr>
                <w:rFonts w:hint="eastAsia" w:ascii="宋体" w:hAnsi="宋体" w:eastAsia="宋体" w:cs="宋体"/>
                <w:sz w:val="24"/>
                <w:szCs w:val="24"/>
                <w:highlight w:val="none"/>
              </w:rPr>
              <w:t>（提供相关证明材料）</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10、漏洞扫描系统</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1U标准机架设备，冗余电源；千兆电口≥6个，千兆光口≥2个；2个SFP插槽，1个console口和2个USB口，含200个WEB域名、无限IP地址数扫描授权</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双协议栈支持</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支持IPv4/IPv6双协议栈地址场景漏洞扫描；</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系统漏洞扫描能力要求</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产品漏洞库应涵盖目前的安全漏洞和攻击特征，漏洞库具备至少CVE、CNCVE、CNVD、BUGTRAQ、CNNVD编号；</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支持扫描系统漏洞数量大于140000种，web漏洞数量大于2200种,数据库大于2500种，CVE漏洞数大于60000（提供截图）；</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支持扫描主流操作系统、Web服务器、数据库、网络主机、移动设备、应用及软件的安全漏洞（提供截图）；支持扫描大数据组件的安全漏洞；</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允许管理员配置扫描通知，在扫描任务运行开始时向被扫描的资产发送扫描通知（提供截图）；</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Fonts w:hint="eastAsia" w:ascii="宋体" w:hAnsi="宋体" w:eastAsia="宋体" w:cs="宋体"/>
                <w:sz w:val="24"/>
                <w:szCs w:val="24"/>
                <w:highlight w:val="none"/>
              </w:rPr>
              <w:t>Web漏洞扫描要求</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扫描对象支持手动输入、批量文件导入及站点组导入，支持填写排除目标（提供截图）</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支持排除路径名，可自定义无需爬取的URL链接（提供截图）；</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支持排除后缀名，可自定义无需爬取的文件后缀名，即引擎爬虫不对如下特定的链接爬取（提供截图）；</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口令猜解</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支持自定义口令猜测时间、猜测频率、猜测次数、最大并发线程数（提供截图）；</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报表能力</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综述报表可展示详细的任务信息，包括任务名称、类型、开始时间、任务耗时、摘要信息等（提供截图）；</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报表支持综述报表及主机报表，可自定义安全结论（提供截图）；</w:t>
            </w:r>
          </w:p>
        </w:tc>
      </w:tr>
      <w:tr>
        <w:tblPrEx>
          <w:tblCellMar>
            <w:top w:w="0" w:type="dxa"/>
            <w:left w:w="0" w:type="dxa"/>
            <w:bottom w:w="0" w:type="dxa"/>
            <w:right w:w="0" w:type="dxa"/>
          </w:tblCellMar>
        </w:tblPrEx>
        <w:trPr>
          <w:trHeight w:val="251" w:hRule="atLeast"/>
        </w:trPr>
        <w:tc>
          <w:tcPr>
            <w:tcW w:w="2204"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资质要求</w:t>
            </w: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产品具备销售许可证增强级（公安部）；</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产品具备安全测评认证证书EAL3+</w:t>
            </w:r>
          </w:p>
        </w:tc>
      </w:tr>
      <w:tr>
        <w:tblPrEx>
          <w:tblCellMar>
            <w:top w:w="0" w:type="dxa"/>
            <w:left w:w="0" w:type="dxa"/>
            <w:bottom w:w="0" w:type="dxa"/>
            <w:right w:w="0" w:type="dxa"/>
          </w:tblCellMar>
        </w:tblPrEx>
        <w:trPr>
          <w:trHeight w:val="251" w:hRule="atLeast"/>
        </w:trPr>
        <w:tc>
          <w:tcPr>
            <w:tcW w:w="2204"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4"/>
                <w:szCs w:val="24"/>
                <w:highlight w:val="none"/>
              </w:rPr>
            </w:pPr>
          </w:p>
        </w:tc>
        <w:tc>
          <w:tcPr>
            <w:tcW w:w="7530" w:type="dxa"/>
            <w:tcBorders>
              <w:top w:val="single" w:color="000000" w:sz="4" w:space="0"/>
              <w:left w:val="nil"/>
              <w:bottom w:val="single" w:color="000000" w:sz="4" w:space="0"/>
              <w:right w:val="single" w:color="000000" w:sz="4" w:space="0"/>
            </w:tcBorders>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产品具备CNNVD兼容性证书/国家信息安全漏洞库兼容性资质证书</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11、综合网管系统</w:t>
      </w:r>
    </w:p>
    <w:tbl>
      <w:tblPr>
        <w:tblStyle w:val="31"/>
        <w:tblW w:w="9734" w:type="dxa"/>
        <w:tblInd w:w="-103" w:type="dxa"/>
        <w:tblLayout w:type="fixed"/>
        <w:tblCellMar>
          <w:top w:w="0" w:type="dxa"/>
          <w:left w:w="0" w:type="dxa"/>
          <w:bottom w:w="0" w:type="dxa"/>
          <w:right w:w="0" w:type="dxa"/>
        </w:tblCellMar>
      </w:tblPr>
      <w:tblGrid>
        <w:gridCol w:w="2204"/>
        <w:gridCol w:w="7530"/>
      </w:tblGrid>
      <w:tr>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有线无线统一网络管理平台，采用SDN组网架构，千兆电口≥3。</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所投交换机需具备工信部颁发的电信设备入网许可证书（提供证书复印件并加盖厂商公章）</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12、交换机</w:t>
      </w:r>
    </w:p>
    <w:tbl>
      <w:tblPr>
        <w:tblStyle w:val="31"/>
        <w:tblW w:w="9734" w:type="dxa"/>
        <w:tblInd w:w="-103" w:type="dxa"/>
        <w:tblLayout w:type="fixed"/>
        <w:tblCellMar>
          <w:top w:w="0" w:type="dxa"/>
          <w:left w:w="0" w:type="dxa"/>
          <w:bottom w:w="0" w:type="dxa"/>
          <w:right w:w="0" w:type="dxa"/>
        </w:tblCellMar>
      </w:tblPr>
      <w:tblGrid>
        <w:gridCol w:w="2204"/>
        <w:gridCol w:w="7530"/>
      </w:tblGrid>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技术指标</w:t>
            </w:r>
          </w:p>
        </w:tc>
        <w:tc>
          <w:tcPr>
            <w:tcW w:w="7530" w:type="dxa"/>
            <w:tcBorders>
              <w:top w:val="single" w:color="000000" w:sz="4" w:space="0"/>
              <w:left w:val="nil"/>
              <w:bottom w:val="single" w:color="000000" w:sz="4" w:space="0"/>
              <w:right w:val="single" w:color="000000" w:sz="4" w:space="0"/>
            </w:tcBorders>
          </w:tcPr>
          <w:p>
            <w:pPr>
              <w:jc w:val="center"/>
              <w:rPr>
                <w:rStyle w:val="236"/>
                <w:rFonts w:hint="eastAsia" w:ascii="宋体" w:hAnsi="宋体" w:eastAsia="宋体" w:cs="宋体"/>
                <w:b/>
                <w:bCs/>
                <w:color w:val="000000"/>
                <w:kern w:val="0"/>
                <w:sz w:val="24"/>
                <w:szCs w:val="24"/>
                <w:highlight w:val="none"/>
              </w:rPr>
            </w:pPr>
            <w:r>
              <w:rPr>
                <w:rStyle w:val="236"/>
                <w:rFonts w:hint="eastAsia" w:ascii="宋体" w:hAnsi="宋体" w:eastAsia="宋体" w:cs="宋体"/>
                <w:b/>
                <w:bCs/>
                <w:sz w:val="24"/>
                <w:szCs w:val="24"/>
                <w:highlight w:val="none"/>
              </w:rPr>
              <w:t>指标要求</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设备规格</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24千兆SFP光口，16个10/100/1000Base-T自适应电口（复用），4个万兆SFP+光口，2个20G QSFP光口；交换容量≥758Gbps/7.58Tbps，包转发率≥432Mpps；</w:t>
            </w:r>
          </w:p>
        </w:tc>
      </w:tr>
      <w:tr>
        <w:tblPrEx>
          <w:tblCellMar>
            <w:top w:w="0" w:type="dxa"/>
            <w:left w:w="0" w:type="dxa"/>
            <w:bottom w:w="0" w:type="dxa"/>
            <w:right w:w="0" w:type="dxa"/>
          </w:tblCellMar>
        </w:tblPrEx>
        <w:trPr>
          <w:trHeight w:val="251" w:hRule="atLeast"/>
        </w:trPr>
        <w:tc>
          <w:tcPr>
            <w:tcW w:w="220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资质要求</w:t>
            </w:r>
          </w:p>
        </w:tc>
        <w:tc>
          <w:tcPr>
            <w:tcW w:w="7530" w:type="dxa"/>
            <w:tcBorders>
              <w:top w:val="single" w:color="000000" w:sz="4" w:space="0"/>
              <w:left w:val="nil"/>
              <w:bottom w:val="single" w:color="000000" w:sz="4" w:space="0"/>
              <w:right w:val="single" w:color="000000" w:sz="4" w:space="0"/>
            </w:tcBorders>
          </w:tcPr>
          <w:p>
            <w:pPr>
              <w:jc w:val="left"/>
              <w:rPr>
                <w:rStyle w:val="236"/>
                <w:rFonts w:hint="eastAsia" w:ascii="宋体" w:hAnsi="宋体" w:eastAsia="宋体" w:cs="宋体"/>
                <w:kern w:val="0"/>
                <w:sz w:val="24"/>
                <w:szCs w:val="24"/>
                <w:highlight w:val="none"/>
              </w:rPr>
            </w:pPr>
            <w:r>
              <w:rPr>
                <w:rStyle w:val="236"/>
                <w:rFonts w:hint="eastAsia" w:ascii="宋体" w:hAnsi="宋体" w:eastAsia="宋体" w:cs="宋体"/>
                <w:kern w:val="0"/>
                <w:sz w:val="24"/>
                <w:szCs w:val="24"/>
                <w:highlight w:val="none"/>
              </w:rPr>
              <w:t>所投交换机需具备工信部颁发的电信设备入网许可证书（提供证书复印件并加盖厂商公章）</w:t>
            </w:r>
          </w:p>
        </w:tc>
      </w:tr>
    </w:tbl>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13、机房物理环境设备</w:t>
      </w:r>
    </w:p>
    <w:p>
      <w:pPr>
        <w:spacing w:line="360" w:lineRule="auto"/>
        <w:ind w:firstLine="480" w:firstLineChars="200"/>
        <w:rPr>
          <w:rStyle w:val="236"/>
          <w:rFonts w:hint="eastAsia" w:ascii="宋体" w:hAnsi="宋体" w:eastAsia="宋体" w:cs="宋体"/>
          <w:sz w:val="24"/>
          <w:szCs w:val="24"/>
          <w:highlight w:val="none"/>
        </w:rPr>
      </w:pPr>
      <w:r>
        <w:rPr>
          <w:rStyle w:val="236"/>
          <w:rFonts w:hint="eastAsia" w:ascii="宋体" w:hAnsi="宋体" w:eastAsia="宋体" w:cs="宋体"/>
          <w:sz w:val="24"/>
          <w:szCs w:val="24"/>
          <w:highlight w:val="none"/>
        </w:rPr>
        <w:t>根据机房要求配置一套七氟炳烷气体消防灭火系统，并部署一台精密空调自动调节温湿度。</w:t>
      </w:r>
    </w:p>
    <w:p>
      <w:pPr>
        <w:pStyle w:val="2"/>
        <w:rPr>
          <w:rStyle w:val="236"/>
          <w:rFonts w:hint="eastAsia" w:ascii="宋体" w:hAnsi="宋体" w:eastAsia="宋体" w:cs="宋体"/>
          <w:b/>
          <w:bCs/>
          <w:sz w:val="24"/>
          <w:szCs w:val="24"/>
          <w:highlight w:val="none"/>
        </w:rPr>
      </w:pPr>
      <w:r>
        <w:rPr>
          <w:rStyle w:val="236"/>
          <w:rFonts w:hint="eastAsia" w:ascii="宋体" w:hAnsi="宋体" w:eastAsia="宋体" w:cs="宋体"/>
          <w:b/>
          <w:bCs/>
          <w:sz w:val="24"/>
          <w:szCs w:val="24"/>
          <w:highlight w:val="none"/>
        </w:rPr>
        <w:t>14、安全集成服务</w:t>
      </w:r>
    </w:p>
    <w:p>
      <w:pPr>
        <w:spacing w:line="360" w:lineRule="auto"/>
        <w:ind w:firstLine="480" w:firstLineChars="200"/>
        <w:rPr>
          <w:rStyle w:val="236"/>
          <w:rFonts w:hint="eastAsia" w:ascii="宋体" w:hAnsi="宋体" w:eastAsia="宋体" w:cs="宋体"/>
          <w:sz w:val="24"/>
          <w:szCs w:val="24"/>
          <w:highlight w:val="none"/>
        </w:rPr>
      </w:pPr>
      <w:r>
        <w:rPr>
          <w:rStyle w:val="236"/>
          <w:rFonts w:hint="eastAsia" w:ascii="宋体" w:hAnsi="宋体" w:eastAsia="宋体" w:cs="宋体"/>
          <w:sz w:val="24"/>
          <w:szCs w:val="24"/>
          <w:highlight w:val="none"/>
        </w:rPr>
        <w:t>1.全局网络系统的规划，含IP地址规划、网络架构、网络骨干路由规划、网络架构规划以及后期网络扩展规划，提供详细可靠的整体性网络规划建设方案，经由局信息中心讨论确认后，按照规划方案进行网络部署实施，并提供详细的项目实施方案。</w:t>
      </w:r>
    </w:p>
    <w:p>
      <w:pPr>
        <w:spacing w:line="360" w:lineRule="auto"/>
        <w:ind w:firstLine="480" w:firstLineChars="200"/>
        <w:rPr>
          <w:rStyle w:val="236"/>
          <w:rFonts w:hint="eastAsia" w:ascii="宋体" w:hAnsi="宋体" w:eastAsia="宋体" w:cs="宋体"/>
          <w:sz w:val="24"/>
          <w:szCs w:val="24"/>
          <w:highlight w:val="none"/>
        </w:rPr>
      </w:pPr>
      <w:r>
        <w:rPr>
          <w:rStyle w:val="236"/>
          <w:rFonts w:hint="eastAsia" w:ascii="宋体" w:hAnsi="宋体" w:eastAsia="宋体" w:cs="宋体"/>
          <w:sz w:val="24"/>
          <w:szCs w:val="24"/>
          <w:highlight w:val="none"/>
        </w:rPr>
        <w:t>2.结合等级保护相关要求对网络进行安全整改，含内网分区分域、边界访问控制、业务系统漏洞梳理，建立一套监控、响应、处置闭环相应的安全防御体系，保障我局的网络稳定运行，经由局信息中心讨论确认后，按照规划方案进行安全设备部署实施，并提供详细的项目实施方案。</w:t>
      </w:r>
    </w:p>
    <w:p>
      <w:pPr>
        <w:spacing w:line="360" w:lineRule="auto"/>
        <w:ind w:firstLine="480" w:firstLineChars="200"/>
        <w:rPr>
          <w:rStyle w:val="236"/>
          <w:rFonts w:hint="eastAsia" w:ascii="宋体" w:hAnsi="宋体" w:eastAsia="宋体" w:cs="宋体"/>
          <w:sz w:val="24"/>
          <w:szCs w:val="24"/>
          <w:highlight w:val="none"/>
        </w:rPr>
      </w:pPr>
      <w:r>
        <w:rPr>
          <w:rStyle w:val="236"/>
          <w:rFonts w:hint="eastAsia" w:ascii="宋体" w:hAnsi="宋体" w:eastAsia="宋体" w:cs="宋体"/>
          <w:sz w:val="24"/>
          <w:szCs w:val="24"/>
          <w:highlight w:val="none"/>
        </w:rPr>
        <w:t>3.本次所有新上设备，安装与布线要求遵照客户的规范进行。</w:t>
      </w:r>
    </w:p>
    <w:p>
      <w:pPr>
        <w:pStyle w:val="12"/>
        <w:spacing w:line="360" w:lineRule="auto"/>
        <w:ind w:left="420"/>
        <w:rPr>
          <w:rFonts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、有关商务要求</w:t>
      </w:r>
    </w:p>
    <w:p>
      <w:pPr>
        <w:spacing w:line="360" w:lineRule="auto"/>
        <w:ind w:firstLine="482" w:firstLineChars="200"/>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说明：投标人在投标文件《商务要求响应、偏离说明表》中应对以下商务要求逐条进行响应描述或偏离说明。否则，其投标按照无效投标处理。</w:t>
      </w:r>
    </w:p>
    <w:p>
      <w:pPr>
        <w:pStyle w:val="2"/>
        <w:spacing w:before="40" w:after="40" w:line="360" w:lineRule="auto"/>
        <w:jc w:val="left"/>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（一）项目建设工期要求</w:t>
      </w:r>
    </w:p>
    <w:p>
      <w:pPr>
        <w:snapToGrid w:val="0"/>
        <w:spacing w:line="360" w:lineRule="auto"/>
        <w:ind w:firstLine="501" w:firstLineChars="209"/>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合同签订后60个日历天内(甲方通知交付时间开始计算)完成交付使用。</w:t>
      </w:r>
    </w:p>
    <w:p>
      <w:pPr>
        <w:pStyle w:val="2"/>
        <w:spacing w:before="40" w:after="40" w:line="360" w:lineRule="auto"/>
        <w:jc w:val="left"/>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（二）项目安装地点要求</w:t>
      </w:r>
    </w:p>
    <w:p>
      <w:pPr>
        <w:snapToGrid w:val="0"/>
        <w:spacing w:line="360" w:lineRule="auto"/>
        <w:ind w:firstLine="501" w:firstLineChars="209"/>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1.交货时间地点：甲方指定时间及安装地点。</w:t>
      </w:r>
    </w:p>
    <w:p>
      <w:pPr>
        <w:snapToGrid w:val="0"/>
        <w:spacing w:line="360" w:lineRule="auto"/>
        <w:ind w:firstLine="501" w:firstLineChars="209"/>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2.交货方式：厂家免费运输、上门安装调试并验收合格。</w:t>
      </w:r>
    </w:p>
    <w:p>
      <w:pPr>
        <w:spacing w:after="60" w:line="360" w:lineRule="auto"/>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（三）报价要求</w:t>
      </w:r>
    </w:p>
    <w:p>
      <w:pPr>
        <w:spacing w:after="60" w:line="360" w:lineRule="auto"/>
        <w:ind w:firstLine="480" w:firstLineChars="200"/>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投标方应全面充分考虑潜江市自然资源和规划局本次招标采购的项目需求，投标书中应包含实现本项目要求功能的所有产品和服务的全部费用。本项目为“交钥匙”工程，</w:t>
      </w:r>
      <w:r>
        <w:rPr>
          <w:rStyle w:val="236"/>
          <w:rFonts w:hint="eastAsia" w:ascii="宋体" w:hAnsi="宋体" w:cs="宋体"/>
          <w:color w:val="auto"/>
          <w:sz w:val="24"/>
          <w:szCs w:val="24"/>
          <w:lang w:eastAsia="zh-CN"/>
        </w:rPr>
        <w:t>采购人</w:t>
      </w:r>
      <w:r>
        <w:rPr>
          <w:rStyle w:val="236"/>
          <w:rFonts w:hint="eastAsia" w:ascii="宋体" w:hAnsi="宋体" w:eastAsia="宋体" w:cs="宋体"/>
          <w:color w:val="auto"/>
          <w:sz w:val="24"/>
          <w:szCs w:val="24"/>
        </w:rPr>
        <w:t>在中标价基础上不再追加任何费用；若因供应商设计失误而导致需在项目实施中增加费用，一切由供应商自行承担。</w:t>
      </w:r>
    </w:p>
    <w:p>
      <w:pPr>
        <w:pStyle w:val="2"/>
        <w:spacing w:before="40" w:after="40" w:line="360" w:lineRule="auto"/>
        <w:jc w:val="left"/>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 xml:space="preserve">（四）付款方式 </w:t>
      </w:r>
    </w:p>
    <w:p>
      <w:pPr>
        <w:snapToGrid w:val="0"/>
        <w:spacing w:line="360" w:lineRule="auto"/>
        <w:ind w:firstLine="501" w:firstLineChars="209"/>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1.全部设备到货且财政资金落实后10个工作日内，甲方向乙方支付合同总金额的30%，支付方式须是支票或电汇或银行汇票至乙方账户。</w:t>
      </w:r>
      <w:r>
        <w:rPr>
          <w:rStyle w:val="236"/>
          <w:rFonts w:hint="eastAsia" w:ascii="宋体" w:hAnsi="宋体" w:eastAsia="宋体" w:cs="宋体"/>
          <w:color w:val="auto"/>
          <w:sz w:val="24"/>
          <w:szCs w:val="24"/>
        </w:rPr>
        <w:br w:type="textWrapping"/>
      </w:r>
      <w:r>
        <w:rPr>
          <w:rStyle w:val="236"/>
          <w:rFonts w:hint="eastAsia" w:ascii="宋体" w:hAnsi="宋体" w:eastAsia="宋体" w:cs="宋体"/>
          <w:color w:val="auto"/>
          <w:sz w:val="24"/>
          <w:szCs w:val="24"/>
        </w:rPr>
        <w:t xml:space="preserve">    2.项目验收合格（配合甲方，并获得三级等保证书后）且财政资金落实后，甲方向乙方支付合同总金额的40%，支付条件为验收合格后由甲方代表在乙方提供的验收文件签字。支付方式须是支票或电汇或银行汇票至乙方账户。</w:t>
      </w:r>
      <w:r>
        <w:rPr>
          <w:rStyle w:val="236"/>
          <w:rFonts w:hint="eastAsia" w:ascii="宋体" w:hAnsi="宋体" w:eastAsia="宋体" w:cs="宋体"/>
          <w:color w:val="auto"/>
          <w:sz w:val="24"/>
          <w:szCs w:val="24"/>
        </w:rPr>
        <w:br w:type="textWrapping"/>
      </w:r>
      <w:r>
        <w:rPr>
          <w:rStyle w:val="236"/>
          <w:rFonts w:hint="eastAsia" w:ascii="宋体" w:hAnsi="宋体" w:eastAsia="宋体" w:cs="宋体"/>
          <w:color w:val="auto"/>
          <w:sz w:val="24"/>
          <w:szCs w:val="24"/>
        </w:rPr>
        <w:t xml:space="preserve">   3.项目终验合格满一年且财政资金落实后10个工作日内，甲方向乙方支付合同总金额的30%，支付方式须是支票或电汇或银行汇票至乙方账户。</w:t>
      </w:r>
    </w:p>
    <w:p>
      <w:pPr>
        <w:pStyle w:val="2"/>
        <w:spacing w:before="40" w:after="40" w:line="360" w:lineRule="auto"/>
        <w:jc w:val="left"/>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（五）验收要求</w:t>
      </w:r>
    </w:p>
    <w:p>
      <w:pPr>
        <w:pStyle w:val="238"/>
        <w:ind w:firstLine="508"/>
        <w:rPr>
          <w:rStyle w:val="236"/>
          <w:rFonts w:hint="eastAsia" w:ascii="宋体" w:hAnsi="宋体" w:eastAsia="宋体" w:cs="宋体"/>
          <w:color w:val="auto"/>
          <w:kern w:val="2"/>
          <w:sz w:val="24"/>
          <w:szCs w:val="24"/>
        </w:rPr>
      </w:pPr>
      <w:r>
        <w:rPr>
          <w:rStyle w:val="236"/>
          <w:rFonts w:hint="eastAsia" w:ascii="宋体" w:hAnsi="宋体" w:eastAsia="宋体" w:cs="宋体"/>
          <w:color w:val="auto"/>
          <w:kern w:val="2"/>
          <w:sz w:val="24"/>
          <w:szCs w:val="24"/>
        </w:rPr>
        <w:t>本项目最终是为了满足网络安全等级保护验收，中标供应商所提供的安全产品及技术服务必须满足网络安全等级保护三级2.0要求的相关标准，且最终测评结果必须大于或等于85分。</w:t>
      </w:r>
    </w:p>
    <w:p>
      <w:pPr>
        <w:pStyle w:val="2"/>
        <w:spacing w:before="40" w:after="40" w:line="360" w:lineRule="auto"/>
        <w:jc w:val="left"/>
        <w:rPr>
          <w:rStyle w:val="236"/>
          <w:rFonts w:hint="eastAsia" w:ascii="宋体" w:hAnsi="宋体" w:eastAsia="宋体" w:cs="宋体"/>
          <w:b/>
          <w:bCs/>
          <w:color w:val="auto"/>
          <w:sz w:val="24"/>
          <w:szCs w:val="24"/>
        </w:rPr>
      </w:pPr>
      <w:r>
        <w:rPr>
          <w:rStyle w:val="236"/>
          <w:rFonts w:hint="eastAsia" w:ascii="宋体" w:hAnsi="宋体" w:eastAsia="宋体" w:cs="宋体"/>
          <w:b/>
          <w:bCs/>
          <w:color w:val="auto"/>
          <w:sz w:val="24"/>
          <w:szCs w:val="24"/>
        </w:rPr>
        <w:t>（六）售后服务要求</w:t>
      </w:r>
    </w:p>
    <w:p>
      <w:pPr>
        <w:snapToGrid w:val="0"/>
        <w:spacing w:line="360" w:lineRule="auto"/>
        <w:ind w:firstLine="501" w:firstLineChars="209"/>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1.在维护期间，需设置专业服务团队，以确保良好售后服务。在系统出现故障时，需在30分钟内响应，并在1小时到达现场，24小时内解决故障，24小时仍未解决，需及时向采购方报备，并采取应急措施，确保系统正常运行。</w:t>
      </w:r>
    </w:p>
    <w:p>
      <w:pPr>
        <w:keepNext w:val="0"/>
        <w:keepLines w:val="0"/>
        <w:pageBreakBefore w:val="0"/>
        <w:widowControl w:val="0"/>
        <w:kinsoku/>
        <w:wordWrap/>
        <w:overflowPunct/>
        <w:topLinePunct w:val="0"/>
        <w:autoSpaceDE/>
        <w:autoSpaceDN/>
        <w:bidi w:val="0"/>
        <w:adjustRightInd/>
        <w:snapToGrid/>
        <w:spacing w:after="60" w:line="360" w:lineRule="auto"/>
        <w:ind w:left="15" w:leftChars="7" w:firstLine="480" w:firstLineChars="200"/>
        <w:textAlignment w:val="auto"/>
        <w:rPr>
          <w:rStyle w:val="236"/>
          <w:rFonts w:hint="eastAsia" w:ascii="宋体" w:hAnsi="宋体" w:eastAsia="宋体" w:cs="宋体"/>
          <w:color w:val="auto"/>
          <w:sz w:val="24"/>
          <w:szCs w:val="24"/>
        </w:rPr>
      </w:pPr>
      <w:r>
        <w:rPr>
          <w:rStyle w:val="236"/>
          <w:rFonts w:hint="eastAsia" w:ascii="宋体" w:hAnsi="宋体" w:eastAsia="宋体" w:cs="宋体"/>
          <w:color w:val="auto"/>
          <w:sz w:val="24"/>
          <w:szCs w:val="24"/>
        </w:rPr>
        <w:t>2.人员培训：中标人负责为</w:t>
      </w:r>
      <w:r>
        <w:rPr>
          <w:rStyle w:val="236"/>
          <w:rFonts w:hint="eastAsia" w:ascii="宋体" w:hAnsi="宋体" w:cs="宋体"/>
          <w:color w:val="auto"/>
          <w:sz w:val="24"/>
          <w:szCs w:val="24"/>
          <w:lang w:eastAsia="zh-CN"/>
        </w:rPr>
        <w:t>采购人</w:t>
      </w:r>
      <w:r>
        <w:rPr>
          <w:rStyle w:val="236"/>
          <w:rFonts w:hint="eastAsia" w:ascii="宋体" w:hAnsi="宋体" w:eastAsia="宋体" w:cs="宋体"/>
          <w:color w:val="auto"/>
          <w:sz w:val="24"/>
          <w:szCs w:val="24"/>
        </w:rPr>
        <w:t>管理人员及关键用户提供免费培训，确保受训人员熟练掌握系统并具备相应传授能力，此外，中标人应在维保期内根据</w:t>
      </w:r>
      <w:r>
        <w:rPr>
          <w:rStyle w:val="236"/>
          <w:rFonts w:hint="eastAsia" w:ascii="宋体" w:hAnsi="宋体" w:cs="宋体"/>
          <w:color w:val="auto"/>
          <w:sz w:val="24"/>
          <w:szCs w:val="24"/>
          <w:lang w:eastAsia="zh-CN"/>
        </w:rPr>
        <w:t>采购人</w:t>
      </w:r>
      <w:r>
        <w:rPr>
          <w:rStyle w:val="236"/>
          <w:rFonts w:hint="eastAsia" w:ascii="宋体" w:hAnsi="宋体" w:eastAsia="宋体" w:cs="宋体"/>
          <w:color w:val="auto"/>
          <w:sz w:val="24"/>
          <w:szCs w:val="24"/>
        </w:rPr>
        <w:t>需求每年至少提供两次免费集中培训。</w:t>
      </w:r>
    </w:p>
    <w:p>
      <w:pPr>
        <w:keepNext w:val="0"/>
        <w:keepLines w:val="0"/>
        <w:pageBreakBefore w:val="0"/>
        <w:widowControl w:val="0"/>
        <w:kinsoku/>
        <w:wordWrap/>
        <w:overflowPunct/>
        <w:topLinePunct w:val="0"/>
        <w:autoSpaceDE/>
        <w:autoSpaceDN/>
        <w:bidi w:val="0"/>
        <w:adjustRightInd/>
        <w:snapToGrid/>
        <w:spacing w:after="60" w:line="360" w:lineRule="auto"/>
        <w:ind w:left="15" w:leftChars="7" w:firstLine="480" w:firstLineChars="200"/>
        <w:textAlignment w:val="auto"/>
        <w:rPr>
          <w:rStyle w:val="236"/>
          <w:rFonts w:hint="eastAsia" w:ascii="宋体" w:hAnsi="宋体" w:eastAsia="宋体" w:cs="宋体"/>
          <w:b/>
          <w:color w:val="auto"/>
          <w:sz w:val="24"/>
          <w:szCs w:val="24"/>
        </w:rPr>
      </w:pPr>
      <w:r>
        <w:rPr>
          <w:rStyle w:val="236"/>
          <w:rFonts w:hint="eastAsia" w:ascii="宋体" w:hAnsi="宋体" w:eastAsia="宋体" w:cs="宋体"/>
          <w:color w:val="auto"/>
          <w:sz w:val="24"/>
          <w:szCs w:val="24"/>
        </w:rPr>
        <w:t>3.影响要求：在部署实施过程中应保证采购方信息系统的正常运行，对系统的正常运行不产生明显影响。在进行有风险的操作前必须明确进行风险提示，并指导</w:t>
      </w:r>
      <w:r>
        <w:rPr>
          <w:rStyle w:val="236"/>
          <w:rFonts w:hint="eastAsia" w:ascii="宋体" w:hAnsi="宋体" w:cs="宋体"/>
          <w:color w:val="auto"/>
          <w:sz w:val="24"/>
          <w:szCs w:val="24"/>
          <w:lang w:eastAsia="zh-CN"/>
        </w:rPr>
        <w:t>采购人</w:t>
      </w:r>
      <w:r>
        <w:rPr>
          <w:rStyle w:val="236"/>
          <w:rFonts w:hint="eastAsia" w:ascii="宋体" w:hAnsi="宋体" w:eastAsia="宋体" w:cs="宋体"/>
          <w:color w:val="auto"/>
          <w:sz w:val="24"/>
          <w:szCs w:val="24"/>
        </w:rPr>
        <w:t>做好应急措施。</w:t>
      </w:r>
    </w:p>
    <w:p>
      <w:pPr>
        <w:pStyle w:val="238"/>
        <w:keepNext w:val="0"/>
        <w:keepLines w:val="0"/>
        <w:pageBreakBefore w:val="0"/>
        <w:widowControl w:val="0"/>
        <w:kinsoku/>
        <w:wordWrap/>
        <w:overflowPunct/>
        <w:topLinePunct w:val="0"/>
        <w:autoSpaceDE/>
        <w:autoSpaceDN/>
        <w:bidi w:val="0"/>
        <w:adjustRightInd/>
        <w:snapToGrid/>
        <w:spacing w:line="360" w:lineRule="auto"/>
        <w:ind w:firstLine="508"/>
        <w:textAlignment w:val="auto"/>
        <w:rPr>
          <w:rStyle w:val="236"/>
          <w:rFonts w:hint="eastAsia" w:ascii="宋体" w:hAnsi="宋体" w:eastAsia="宋体" w:cs="宋体"/>
          <w:color w:val="auto"/>
          <w:kern w:val="2"/>
          <w:sz w:val="24"/>
          <w:szCs w:val="24"/>
        </w:rPr>
      </w:pPr>
      <w:r>
        <w:rPr>
          <w:rStyle w:val="236"/>
          <w:rFonts w:hint="eastAsia" w:ascii="宋体" w:hAnsi="宋体" w:eastAsia="宋体" w:cs="宋体"/>
          <w:color w:val="auto"/>
          <w:kern w:val="2"/>
          <w:sz w:val="24"/>
          <w:szCs w:val="24"/>
        </w:rPr>
        <w:t>4.保密管理要求：部署实施前应做好保密教育，和</w:t>
      </w:r>
      <w:r>
        <w:rPr>
          <w:rStyle w:val="236"/>
          <w:rFonts w:hint="eastAsia" w:ascii="宋体" w:hAnsi="宋体" w:eastAsia="宋体" w:cs="宋体"/>
          <w:color w:val="auto"/>
          <w:kern w:val="2"/>
          <w:sz w:val="24"/>
          <w:szCs w:val="24"/>
          <w:lang w:eastAsia="zh-CN"/>
        </w:rPr>
        <w:t>采购人</w:t>
      </w:r>
      <w:r>
        <w:rPr>
          <w:rStyle w:val="236"/>
          <w:rFonts w:hint="eastAsia" w:ascii="宋体" w:hAnsi="宋体" w:eastAsia="宋体" w:cs="宋体"/>
          <w:color w:val="auto"/>
          <w:kern w:val="2"/>
          <w:sz w:val="24"/>
          <w:szCs w:val="24"/>
        </w:rPr>
        <w:t>签署保密协议，部署实施中不得复制、删除系统信息和数据，部署实施完成后未经</w:t>
      </w:r>
      <w:r>
        <w:rPr>
          <w:rStyle w:val="236"/>
          <w:rFonts w:hint="eastAsia" w:ascii="宋体" w:hAnsi="宋体" w:eastAsia="宋体" w:cs="宋体"/>
          <w:color w:val="auto"/>
          <w:kern w:val="2"/>
          <w:sz w:val="24"/>
          <w:szCs w:val="24"/>
          <w:lang w:eastAsia="zh-CN"/>
        </w:rPr>
        <w:t>采购人</w:t>
      </w:r>
      <w:r>
        <w:rPr>
          <w:rStyle w:val="236"/>
          <w:rFonts w:hint="eastAsia" w:ascii="宋体" w:hAnsi="宋体" w:eastAsia="宋体" w:cs="宋体"/>
          <w:color w:val="auto"/>
          <w:kern w:val="2"/>
          <w:sz w:val="24"/>
          <w:szCs w:val="24"/>
        </w:rPr>
        <w:t>书面许可不得在系统中驻留任何程序。</w:t>
      </w:r>
    </w:p>
    <w:p>
      <w:pPr>
        <w:pStyle w:val="238"/>
        <w:keepNext w:val="0"/>
        <w:keepLines w:val="0"/>
        <w:pageBreakBefore w:val="0"/>
        <w:widowControl w:val="0"/>
        <w:kinsoku/>
        <w:wordWrap/>
        <w:overflowPunct/>
        <w:topLinePunct w:val="0"/>
        <w:autoSpaceDE/>
        <w:autoSpaceDN/>
        <w:bidi w:val="0"/>
        <w:adjustRightInd/>
        <w:snapToGrid/>
        <w:spacing w:line="360" w:lineRule="auto"/>
        <w:textAlignment w:val="auto"/>
        <w:rPr>
          <w:rStyle w:val="236"/>
          <w:rFonts w:hint="eastAsia" w:ascii="宋体" w:hAnsi="宋体" w:eastAsia="宋体" w:cs="宋体"/>
          <w:b/>
          <w:bCs/>
          <w:color w:val="auto"/>
          <w:kern w:val="2"/>
          <w:sz w:val="24"/>
          <w:szCs w:val="24"/>
        </w:rPr>
      </w:pPr>
      <w:r>
        <w:rPr>
          <w:rStyle w:val="236"/>
          <w:rFonts w:hint="eastAsia" w:ascii="宋体" w:hAnsi="宋体" w:eastAsia="宋体" w:cs="宋体"/>
          <w:b/>
          <w:bCs/>
          <w:color w:val="auto"/>
          <w:kern w:val="2"/>
          <w:sz w:val="24"/>
          <w:szCs w:val="24"/>
        </w:rPr>
        <w:t>（七）质保期</w:t>
      </w:r>
    </w:p>
    <w:p>
      <w:pPr>
        <w:pStyle w:val="238"/>
        <w:keepNext w:val="0"/>
        <w:keepLines w:val="0"/>
        <w:pageBreakBefore w:val="0"/>
        <w:widowControl w:val="0"/>
        <w:kinsoku/>
        <w:wordWrap/>
        <w:overflowPunct/>
        <w:topLinePunct w:val="0"/>
        <w:autoSpaceDE/>
        <w:autoSpaceDN/>
        <w:bidi w:val="0"/>
        <w:adjustRightInd/>
        <w:snapToGrid/>
        <w:spacing w:line="360" w:lineRule="auto"/>
        <w:ind w:firstLine="508"/>
        <w:textAlignment w:val="auto"/>
        <w:rPr>
          <w:rStyle w:val="236"/>
          <w:rFonts w:hint="eastAsia" w:ascii="宋体" w:hAnsi="宋体" w:eastAsia="宋体" w:cs="宋体"/>
          <w:color w:val="auto"/>
          <w:kern w:val="2"/>
          <w:sz w:val="24"/>
          <w:szCs w:val="24"/>
        </w:rPr>
      </w:pPr>
      <w:r>
        <w:rPr>
          <w:rStyle w:val="236"/>
          <w:rFonts w:hint="eastAsia" w:ascii="宋体" w:hAnsi="宋体" w:eastAsia="宋体" w:cs="宋体"/>
          <w:color w:val="auto"/>
          <w:kern w:val="2"/>
          <w:sz w:val="24"/>
          <w:szCs w:val="24"/>
        </w:rPr>
        <w:t>安全产品硬件提供免费3年质保、软件提供3年免费升级服务。</w:t>
      </w:r>
    </w:p>
    <w:p>
      <w:pPr>
        <w:pStyle w:val="16"/>
        <w:keepNext w:val="0"/>
        <w:keepLines w:val="0"/>
        <w:pageBreakBefore w:val="0"/>
        <w:widowControl w:val="0"/>
        <w:numPr>
          <w:ilvl w:val="0"/>
          <w:numId w:val="28"/>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投标人企业能力及人员有关证书。为本项目评审点</w:t>
      </w:r>
    </w:p>
    <w:p>
      <w:pPr>
        <w:pStyle w:val="16"/>
        <w:keepNext w:val="0"/>
        <w:keepLines w:val="0"/>
        <w:pageBreakBefore w:val="0"/>
        <w:widowControl w:val="0"/>
        <w:numPr>
          <w:ilvl w:val="0"/>
          <w:numId w:val="29"/>
        </w:numPr>
        <w:kinsoku/>
        <w:wordWrap/>
        <w:overflowPunct/>
        <w:topLinePunct w:val="0"/>
        <w:autoSpaceDE/>
        <w:autoSpaceDN/>
        <w:bidi w:val="0"/>
        <w:adjustRightInd/>
        <w:snapToGrid/>
        <w:spacing w:line="360" w:lineRule="auto"/>
        <w:textAlignment w:val="auto"/>
        <w:rPr>
          <w:rStyle w:val="236"/>
          <w:rFonts w:hint="eastAsia" w:hAnsi="宋体" w:cs="宋体"/>
          <w:color w:val="auto"/>
          <w:kern w:val="0"/>
          <w:sz w:val="24"/>
          <w:szCs w:val="24"/>
          <w:highlight w:val="none"/>
          <w:lang w:eastAsia="zh-CN"/>
        </w:rPr>
      </w:pPr>
      <w:r>
        <w:rPr>
          <w:rStyle w:val="236"/>
          <w:rFonts w:hint="eastAsia" w:ascii="宋体" w:hAnsi="宋体" w:eastAsia="宋体" w:cs="宋体"/>
          <w:color w:val="auto"/>
          <w:kern w:val="0"/>
          <w:sz w:val="24"/>
          <w:szCs w:val="24"/>
          <w:highlight w:val="none"/>
        </w:rPr>
        <w:t>投标人具有《ISO20000信息技术服务管理体系认证证书》及《ISO27001信息安全管理体系认证证书》</w:t>
      </w:r>
      <w:r>
        <w:rPr>
          <w:rStyle w:val="236"/>
          <w:rFonts w:hint="eastAsia" w:hAnsi="宋体" w:cs="宋体"/>
          <w:color w:val="auto"/>
          <w:kern w:val="0"/>
          <w:sz w:val="24"/>
          <w:szCs w:val="24"/>
          <w:highlight w:val="none"/>
          <w:lang w:eastAsia="zh-CN"/>
        </w:rPr>
        <w:t>；</w:t>
      </w:r>
    </w:p>
    <w:p>
      <w:pPr>
        <w:pStyle w:val="16"/>
        <w:keepNext w:val="0"/>
        <w:keepLines w:val="0"/>
        <w:pageBreakBefore w:val="0"/>
        <w:widowControl w:val="0"/>
        <w:numPr>
          <w:ilvl w:val="0"/>
          <w:numId w:val="29"/>
        </w:numPr>
        <w:kinsoku/>
        <w:wordWrap/>
        <w:overflowPunct/>
        <w:topLinePunct w:val="0"/>
        <w:autoSpaceDE/>
        <w:autoSpaceDN/>
        <w:bidi w:val="0"/>
        <w:adjustRightInd/>
        <w:snapToGrid/>
        <w:spacing w:line="360" w:lineRule="auto"/>
        <w:textAlignment w:val="auto"/>
        <w:rPr>
          <w:rStyle w:val="236"/>
          <w:rFonts w:hint="eastAsia" w:hAnsi="宋体" w:cs="宋体"/>
          <w:color w:val="auto"/>
          <w:kern w:val="0"/>
          <w:sz w:val="24"/>
          <w:szCs w:val="24"/>
          <w:highlight w:val="none"/>
          <w:lang w:eastAsia="zh-CN"/>
        </w:rPr>
      </w:pPr>
      <w:r>
        <w:rPr>
          <w:rStyle w:val="236"/>
          <w:rFonts w:hint="eastAsia" w:ascii="宋体" w:hAnsi="宋体" w:eastAsia="宋体" w:cs="宋体"/>
          <w:color w:val="auto"/>
          <w:kern w:val="0"/>
          <w:sz w:val="24"/>
          <w:szCs w:val="24"/>
          <w:highlight w:val="none"/>
        </w:rPr>
        <w:t>投标人具有增值电信业务经营许可证</w:t>
      </w:r>
      <w:r>
        <w:rPr>
          <w:rStyle w:val="236"/>
          <w:rFonts w:hint="eastAsia" w:hAnsi="宋体" w:cs="宋体"/>
          <w:color w:val="auto"/>
          <w:kern w:val="0"/>
          <w:sz w:val="24"/>
          <w:szCs w:val="24"/>
          <w:highlight w:val="none"/>
          <w:lang w:eastAsia="zh-CN"/>
        </w:rPr>
        <w:t>；</w:t>
      </w:r>
    </w:p>
    <w:p>
      <w:pPr>
        <w:pStyle w:val="16"/>
        <w:keepNext w:val="0"/>
        <w:keepLines w:val="0"/>
        <w:pageBreakBefore w:val="0"/>
        <w:widowControl w:val="0"/>
        <w:numPr>
          <w:ilvl w:val="0"/>
          <w:numId w:val="29"/>
        </w:numPr>
        <w:kinsoku/>
        <w:wordWrap/>
        <w:overflowPunct/>
        <w:topLinePunct w:val="0"/>
        <w:autoSpaceDE/>
        <w:autoSpaceDN/>
        <w:bidi w:val="0"/>
        <w:adjustRightInd/>
        <w:snapToGrid/>
        <w:spacing w:line="360" w:lineRule="auto"/>
        <w:textAlignment w:val="auto"/>
        <w:rPr>
          <w:rStyle w:val="236"/>
          <w:rFonts w:hint="eastAsia" w:hAnsi="宋体" w:cs="宋体"/>
          <w:color w:val="auto"/>
          <w:kern w:val="0"/>
          <w:sz w:val="24"/>
          <w:szCs w:val="24"/>
          <w:highlight w:val="none"/>
          <w:lang w:eastAsia="zh-CN"/>
        </w:rPr>
      </w:pPr>
      <w:r>
        <w:rPr>
          <w:rStyle w:val="236"/>
          <w:rFonts w:hint="eastAsia" w:ascii="宋体" w:hAnsi="宋体" w:eastAsia="宋体" w:cs="宋体"/>
          <w:color w:val="auto"/>
          <w:kern w:val="0"/>
          <w:sz w:val="24"/>
          <w:szCs w:val="24"/>
          <w:highlight w:val="none"/>
        </w:rPr>
        <w:t>投标人拟派项目经理</w:t>
      </w:r>
      <w:r>
        <w:rPr>
          <w:rStyle w:val="236"/>
          <w:rFonts w:hint="eastAsia" w:hAnsi="宋体" w:cs="宋体"/>
          <w:color w:val="auto"/>
          <w:kern w:val="0"/>
          <w:sz w:val="24"/>
          <w:szCs w:val="24"/>
          <w:highlight w:val="none"/>
          <w:lang w:eastAsia="zh-CN"/>
        </w:rPr>
        <w:t>有关证书；</w:t>
      </w:r>
    </w:p>
    <w:p>
      <w:pPr>
        <w:pStyle w:val="16"/>
        <w:keepNext w:val="0"/>
        <w:keepLines w:val="0"/>
        <w:pageBreakBefore w:val="0"/>
        <w:widowControl w:val="0"/>
        <w:numPr>
          <w:ilvl w:val="0"/>
          <w:numId w:val="29"/>
        </w:numPr>
        <w:kinsoku/>
        <w:wordWrap/>
        <w:overflowPunct/>
        <w:topLinePunct w:val="0"/>
        <w:autoSpaceDE/>
        <w:autoSpaceDN/>
        <w:bidi w:val="0"/>
        <w:adjustRightInd/>
        <w:snapToGrid/>
        <w:spacing w:line="360" w:lineRule="auto"/>
        <w:textAlignment w:val="auto"/>
        <w:rPr>
          <w:rStyle w:val="236"/>
          <w:rFonts w:hint="eastAsia" w:hAnsi="宋体" w:cs="宋体"/>
          <w:color w:val="auto"/>
          <w:kern w:val="0"/>
          <w:sz w:val="24"/>
          <w:szCs w:val="24"/>
          <w:highlight w:val="none"/>
          <w:lang w:eastAsia="zh-CN"/>
        </w:rPr>
      </w:pPr>
      <w:r>
        <w:rPr>
          <w:rStyle w:val="236"/>
          <w:rFonts w:hint="eastAsia" w:ascii="宋体" w:hAnsi="宋体" w:eastAsia="宋体" w:cs="宋体"/>
          <w:color w:val="auto"/>
          <w:kern w:val="0"/>
          <w:sz w:val="24"/>
          <w:szCs w:val="24"/>
          <w:highlight w:val="none"/>
        </w:rPr>
        <w:t>投标人拟派技术负责人</w:t>
      </w:r>
      <w:r>
        <w:rPr>
          <w:rStyle w:val="236"/>
          <w:rFonts w:hint="eastAsia" w:hAnsi="宋体" w:cs="宋体"/>
          <w:color w:val="auto"/>
          <w:kern w:val="0"/>
          <w:sz w:val="24"/>
          <w:szCs w:val="24"/>
          <w:highlight w:val="none"/>
          <w:lang w:eastAsia="zh-CN"/>
        </w:rPr>
        <w:t>有关证书；</w:t>
      </w:r>
    </w:p>
    <w:p>
      <w:pPr>
        <w:pStyle w:val="16"/>
        <w:keepNext w:val="0"/>
        <w:keepLines w:val="0"/>
        <w:pageBreakBefore w:val="0"/>
        <w:widowControl w:val="0"/>
        <w:numPr>
          <w:ilvl w:val="0"/>
          <w:numId w:val="29"/>
        </w:numPr>
        <w:kinsoku/>
        <w:wordWrap/>
        <w:overflowPunct/>
        <w:topLinePunct w:val="0"/>
        <w:autoSpaceDE/>
        <w:autoSpaceDN/>
        <w:bidi w:val="0"/>
        <w:adjustRightInd/>
        <w:snapToGrid/>
        <w:spacing w:line="360" w:lineRule="auto"/>
        <w:textAlignment w:val="auto"/>
        <w:rPr>
          <w:rStyle w:val="236"/>
          <w:rFonts w:hint="eastAsia" w:hAnsi="宋体" w:cs="宋体"/>
          <w:color w:val="auto"/>
          <w:kern w:val="0"/>
          <w:sz w:val="24"/>
          <w:szCs w:val="24"/>
          <w:highlight w:val="none"/>
          <w:lang w:val="en-US" w:eastAsia="zh-CN"/>
        </w:rPr>
      </w:pPr>
      <w:r>
        <w:rPr>
          <w:rStyle w:val="236"/>
          <w:rFonts w:hint="eastAsia" w:ascii="宋体" w:hAnsi="宋体" w:eastAsia="宋体" w:cs="宋体"/>
          <w:color w:val="auto"/>
          <w:kern w:val="0"/>
          <w:sz w:val="24"/>
          <w:szCs w:val="24"/>
          <w:highlight w:val="none"/>
        </w:rPr>
        <w:t>投标人能提供自有的本地化服务，提供能实现服务的自有服务机构营业执照和自有服务机构房屋产权证明</w:t>
      </w:r>
      <w:r>
        <w:rPr>
          <w:rStyle w:val="236"/>
          <w:rFonts w:hint="eastAsia" w:hAnsi="宋体" w:cs="宋体"/>
          <w:color w:val="auto"/>
          <w:kern w:val="0"/>
          <w:sz w:val="24"/>
          <w:szCs w:val="24"/>
          <w:highlight w:val="none"/>
          <w:lang w:eastAsia="zh-CN"/>
        </w:rPr>
        <w:t>。</w:t>
      </w:r>
    </w:p>
    <w:bookmarkEnd w:id="31"/>
    <w:bookmarkEnd w:id="32"/>
    <w:bookmarkEnd w:id="34"/>
    <w:bookmarkEnd w:id="35"/>
    <w:bookmarkEnd w:id="36"/>
    <w:bookmarkEnd w:id="37"/>
    <w:bookmarkEnd w:id="38"/>
    <w:p>
      <w:pPr>
        <w:pStyle w:val="3"/>
        <w:pageBreakBefore/>
        <w:numPr>
          <w:ilvl w:val="0"/>
          <w:numId w:val="1"/>
        </w:numPr>
        <w:jc w:val="center"/>
        <w:rPr>
          <w:rFonts w:ascii="黑体" w:hAnsi="黑体" w:eastAsia="黑体"/>
          <w:color w:val="auto"/>
        </w:rPr>
      </w:pPr>
      <w:bookmarkStart w:id="42" w:name="_Toc18398"/>
      <w:r>
        <w:rPr>
          <w:rFonts w:hint="eastAsia" w:ascii="黑体" w:hAnsi="黑体" w:eastAsia="黑体"/>
          <w:color w:val="auto"/>
        </w:rPr>
        <w:t>资格审查方法及标准</w:t>
      </w:r>
      <w:bookmarkEnd w:id="42"/>
    </w:p>
    <w:p>
      <w:pPr>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0"/>
          <w:lang w:val="zh-CN" w:eastAsia="zh-CN"/>
        </w:rPr>
      </w:pPr>
      <w:r>
        <w:rPr>
          <w:rFonts w:hint="eastAsia" w:ascii="宋体" w:hAnsi="宋体" w:eastAsia="宋体" w:cs="宋体"/>
          <w:bCs/>
          <w:sz w:val="24"/>
          <w:szCs w:val="20"/>
          <w:lang w:val="zh-CN" w:eastAsia="zh-CN"/>
        </w:rPr>
        <w:t>根据《政府采购法》、《政府采购法实施条例》、《政府采购货物和服务招标投标管理办法》等相关法律法规确定以下资格审查方法及标准</w:t>
      </w:r>
      <w:r>
        <w:rPr>
          <w:rFonts w:hint="eastAsia" w:ascii="宋体" w:hAnsi="宋体" w:eastAsia="宋体" w:cs="宋体"/>
          <w:bCs/>
          <w:sz w:val="24"/>
          <w:szCs w:val="20"/>
          <w:lang w:val="zh-CN"/>
        </w:rPr>
        <w:t>。</w:t>
      </w:r>
    </w:p>
    <w:p>
      <w:pPr>
        <w:pStyle w:val="4"/>
        <w:pageBreakBefore w:val="0"/>
        <w:widowControl w:val="0"/>
        <w:numPr>
          <w:ilvl w:val="0"/>
          <w:numId w:val="30"/>
        </w:numPr>
        <w:kinsoku/>
        <w:wordWrap/>
        <w:overflowPunct/>
        <w:topLinePunct w:val="0"/>
        <w:autoSpaceDE/>
        <w:autoSpaceDN/>
        <w:bidi w:val="0"/>
        <w:adjustRightInd/>
        <w:snapToGrid/>
        <w:spacing w:before="0" w:after="0" w:line="360" w:lineRule="auto"/>
        <w:ind w:left="616" w:hanging="616"/>
        <w:jc w:val="left"/>
        <w:textAlignment w:val="auto"/>
        <w:rPr>
          <w:rFonts w:hint="eastAsia" w:ascii="宋体" w:hAnsi="宋体" w:eastAsia="宋体" w:cs="宋体"/>
          <w:bCs w:val="0"/>
          <w:sz w:val="30"/>
          <w:szCs w:val="30"/>
          <w:lang w:val="zh-CN" w:eastAsia="zh-CN"/>
        </w:rPr>
      </w:pPr>
      <w:bookmarkStart w:id="43" w:name="_Toc511894514"/>
      <w:bookmarkStart w:id="44" w:name="_Toc107589965"/>
      <w:bookmarkStart w:id="45" w:name="_Toc16865"/>
      <w:r>
        <w:rPr>
          <w:rFonts w:hint="eastAsia" w:ascii="宋体" w:hAnsi="宋体" w:eastAsia="宋体" w:cs="宋体"/>
          <w:bCs w:val="0"/>
          <w:sz w:val="30"/>
          <w:szCs w:val="30"/>
          <w:lang w:val="zh-CN" w:eastAsia="zh-CN"/>
        </w:rPr>
        <w:t>资格审查方法</w:t>
      </w:r>
      <w:bookmarkEnd w:id="43"/>
      <w:bookmarkEnd w:id="44"/>
      <w:bookmarkEnd w:id="45"/>
    </w:p>
    <w:p>
      <w:pPr>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0"/>
          <w:lang w:val="zh-CN" w:eastAsia="zh-CN"/>
        </w:rPr>
      </w:pPr>
      <w:r>
        <w:rPr>
          <w:rFonts w:hint="eastAsia" w:ascii="宋体" w:hAnsi="宋体" w:eastAsia="宋体" w:cs="宋体"/>
          <w:bCs/>
          <w:sz w:val="24"/>
          <w:szCs w:val="20"/>
          <w:lang w:val="zh-CN"/>
        </w:rPr>
        <w:t>公开招标</w:t>
      </w:r>
      <w:r>
        <w:rPr>
          <w:rFonts w:hint="eastAsia" w:ascii="宋体" w:hAnsi="宋体" w:eastAsia="宋体" w:cs="宋体"/>
          <w:bCs/>
          <w:sz w:val="24"/>
          <w:szCs w:val="20"/>
          <w:lang w:val="zh-CN" w:eastAsia="zh-CN"/>
        </w:rPr>
        <w:t>采购项目开标结束后，采购人与集中采购机构</w:t>
      </w:r>
      <w:r>
        <w:rPr>
          <w:rFonts w:hint="eastAsia" w:ascii="宋体" w:hAnsi="宋体" w:eastAsia="宋体" w:cs="宋体"/>
          <w:bCs/>
          <w:sz w:val="24"/>
          <w:szCs w:val="20"/>
          <w:lang w:val="zh-CN"/>
        </w:rPr>
        <w:t>成立资格审查小组，</w:t>
      </w:r>
      <w:r>
        <w:rPr>
          <w:rFonts w:hint="eastAsia" w:ascii="宋体" w:hAnsi="宋体" w:eastAsia="宋体" w:cs="宋体"/>
          <w:bCs/>
          <w:sz w:val="24"/>
          <w:szCs w:val="20"/>
          <w:lang w:val="zh-CN" w:eastAsia="zh-CN"/>
        </w:rPr>
        <w:t>依据法律、法规及招标文件的规定，对投标人的资格进行审查，以确定投标人资格是否合格。</w:t>
      </w:r>
    </w:p>
    <w:p>
      <w:pPr>
        <w:pStyle w:val="4"/>
        <w:pageBreakBefore w:val="0"/>
        <w:widowControl w:val="0"/>
        <w:numPr>
          <w:ilvl w:val="0"/>
          <w:numId w:val="30"/>
        </w:numPr>
        <w:kinsoku/>
        <w:wordWrap/>
        <w:overflowPunct/>
        <w:topLinePunct w:val="0"/>
        <w:autoSpaceDE/>
        <w:autoSpaceDN/>
        <w:bidi w:val="0"/>
        <w:adjustRightInd/>
        <w:snapToGrid/>
        <w:spacing w:before="0" w:after="0" w:line="360" w:lineRule="auto"/>
        <w:ind w:left="616" w:hanging="616"/>
        <w:jc w:val="left"/>
        <w:textAlignment w:val="auto"/>
        <w:rPr>
          <w:rFonts w:hint="eastAsia" w:ascii="宋体" w:hAnsi="宋体" w:eastAsia="宋体" w:cs="宋体"/>
          <w:bCs w:val="0"/>
          <w:sz w:val="30"/>
          <w:szCs w:val="30"/>
          <w:lang w:val="zh-CN" w:eastAsia="zh-CN"/>
        </w:rPr>
      </w:pPr>
      <w:bookmarkStart w:id="46" w:name="_Toc8482"/>
      <w:bookmarkStart w:id="47" w:name="_Toc107589966"/>
      <w:bookmarkStart w:id="48" w:name="_Toc511894515"/>
      <w:r>
        <w:rPr>
          <w:rFonts w:hint="eastAsia" w:ascii="宋体" w:hAnsi="宋体" w:eastAsia="宋体" w:cs="宋体"/>
          <w:bCs w:val="0"/>
          <w:sz w:val="30"/>
          <w:szCs w:val="30"/>
          <w:lang w:val="zh-CN" w:eastAsia="zh-CN"/>
        </w:rPr>
        <w:t>资格审查标准</w:t>
      </w:r>
      <w:bookmarkEnd w:id="46"/>
      <w:bookmarkEnd w:id="47"/>
      <w:bookmarkEnd w:id="48"/>
    </w:p>
    <w:p>
      <w:pPr>
        <w:pageBreakBefore w:val="0"/>
        <w:widowControl w:val="0"/>
        <w:numPr>
          <w:ilvl w:val="0"/>
          <w:numId w:val="31"/>
        </w:numPr>
        <w:tabs>
          <w:tab w:val="left" w:pos="1098"/>
        </w:tabs>
        <w:kinsoku/>
        <w:wordWrap/>
        <w:overflowPunct/>
        <w:topLinePunct w:val="0"/>
        <w:autoSpaceDE/>
        <w:autoSpaceDN/>
        <w:bidi w:val="0"/>
        <w:adjustRightInd/>
        <w:snapToGrid/>
        <w:spacing w:line="360" w:lineRule="auto"/>
        <w:ind w:left="14" w:firstLine="238"/>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资格证明文件审查</w:t>
      </w:r>
    </w:p>
    <w:p>
      <w:pPr>
        <w:pageBreakBefore w:val="0"/>
        <w:widowControl w:val="0"/>
        <w:tabs>
          <w:tab w:val="left" w:pos="1098"/>
        </w:tabs>
        <w:kinsoku/>
        <w:wordWrap/>
        <w:overflowPunct/>
        <w:topLinePunct w:val="0"/>
        <w:autoSpaceDE/>
        <w:autoSpaceDN/>
        <w:bidi w:val="0"/>
        <w:adjustRightInd/>
        <w:snapToGrid/>
        <w:spacing w:line="360" w:lineRule="auto"/>
        <w:ind w:left="708" w:hanging="708" w:hangingChars="294"/>
        <w:textAlignment w:val="auto"/>
        <w:rPr>
          <w:rFonts w:hint="eastAsia" w:ascii="宋体" w:hAnsi="宋体" w:eastAsia="宋体" w:cs="宋体"/>
          <w:sz w:val="24"/>
          <w:szCs w:val="24"/>
        </w:rPr>
      </w:pPr>
      <w:r>
        <w:rPr>
          <w:rFonts w:hint="eastAsia" w:ascii="宋体" w:hAnsi="宋体" w:eastAsia="宋体" w:cs="宋体"/>
          <w:b/>
          <w:sz w:val="24"/>
          <w:szCs w:val="24"/>
          <w:lang w:val="zh-CN" w:eastAsia="zh-CN"/>
        </w:rPr>
        <w:t>说明：</w:t>
      </w:r>
      <w:r>
        <w:rPr>
          <w:rFonts w:hint="eastAsia" w:ascii="宋体" w:hAnsi="宋体" w:eastAsia="宋体" w:cs="宋体"/>
          <w:sz w:val="24"/>
          <w:szCs w:val="24"/>
          <w:lang w:val="zh-CN"/>
        </w:rPr>
        <w:t>资格审查内容要求提供的相关证明材料，投标人应对应放入投标文件的“</w:t>
      </w:r>
      <w:r>
        <w:rPr>
          <w:rFonts w:hint="eastAsia" w:ascii="宋体" w:hAnsi="宋体" w:eastAsia="宋体" w:cs="宋体"/>
          <w:sz w:val="24"/>
          <w:szCs w:val="24"/>
          <w:lang w:val="zh-CN" w:eastAsia="zh-CN"/>
        </w:rPr>
        <w:t>第</w:t>
      </w:r>
      <w:r>
        <w:rPr>
          <w:rFonts w:hint="eastAsia" w:ascii="宋体" w:hAnsi="宋体" w:eastAsia="宋体" w:cs="宋体"/>
          <w:sz w:val="24"/>
          <w:szCs w:val="24"/>
          <w:lang w:val="zh-CN"/>
        </w:rPr>
        <w:t>一</w:t>
      </w:r>
      <w:r>
        <w:rPr>
          <w:rFonts w:hint="eastAsia" w:ascii="宋体" w:hAnsi="宋体" w:eastAsia="宋体" w:cs="宋体"/>
          <w:sz w:val="24"/>
          <w:szCs w:val="24"/>
          <w:lang w:val="zh-CN" w:eastAsia="zh-CN"/>
        </w:rPr>
        <w:t>部分</w:t>
      </w:r>
      <w:r>
        <w:rPr>
          <w:rFonts w:hint="eastAsia" w:ascii="宋体" w:hAnsi="宋体" w:eastAsia="宋体" w:cs="宋体"/>
          <w:sz w:val="24"/>
          <w:szCs w:val="24"/>
          <w:lang w:val="zh-CN"/>
        </w:rPr>
        <w:t xml:space="preserve"> 资格证明文件”中，否则，</w:t>
      </w:r>
      <w:r>
        <w:rPr>
          <w:rFonts w:hint="eastAsia" w:ascii="宋体" w:hAnsi="宋体" w:eastAsia="宋体" w:cs="宋体"/>
          <w:b/>
          <w:sz w:val="24"/>
          <w:szCs w:val="24"/>
          <w:lang w:val="zh-CN"/>
        </w:rPr>
        <w:t>将会导致投标无效</w:t>
      </w:r>
      <w:r>
        <w:rPr>
          <w:rFonts w:hint="eastAsia" w:ascii="宋体" w:hAnsi="宋体" w:eastAsia="宋体" w:cs="宋体"/>
          <w:sz w:val="24"/>
          <w:szCs w:val="24"/>
        </w:rPr>
        <w:t>。</w:t>
      </w:r>
    </w:p>
    <w:p>
      <w:pPr>
        <w:keepNext w:val="0"/>
        <w:keepLines w:val="0"/>
        <w:pageBreakBefore w:val="0"/>
        <w:widowControl w:val="0"/>
        <w:tabs>
          <w:tab w:val="left" w:pos="616"/>
        </w:tabs>
        <w:kinsoku/>
        <w:wordWrap/>
        <w:overflowPunct/>
        <w:topLinePunct w:val="0"/>
        <w:autoSpaceDE/>
        <w:autoSpaceDN/>
        <w:bidi w:val="0"/>
        <w:adjustRightInd/>
        <w:snapToGrid/>
        <w:spacing w:line="360" w:lineRule="auto"/>
        <w:ind w:firstLine="540" w:firstLineChars="225"/>
        <w:textAlignment w:val="auto"/>
        <w:rPr>
          <w:rFonts w:hint="eastAsia" w:ascii="宋体" w:hAnsi="宋体" w:eastAsia="宋体" w:cs="宋体"/>
          <w:b w:val="0"/>
          <w:bCs w:val="0"/>
          <w:kern w:val="0"/>
          <w:sz w:val="24"/>
          <w:szCs w:val="24"/>
          <w:lang w:val="zh-CN"/>
        </w:rPr>
      </w:pPr>
      <w:r>
        <w:rPr>
          <w:rFonts w:hint="eastAsia" w:ascii="宋体" w:hAnsi="宋体" w:eastAsia="宋体" w:cs="宋体"/>
          <w:b w:val="0"/>
          <w:bCs w:val="0"/>
          <w:kern w:val="0"/>
          <w:sz w:val="24"/>
          <w:szCs w:val="24"/>
          <w:lang w:val="zh-CN" w:eastAsia="zh-CN"/>
        </w:rPr>
        <w:t>所递交的资格证明文件出现不符合下列情形之一或不足以证明其符合下列情形之一的，</w:t>
      </w:r>
      <w:r>
        <w:rPr>
          <w:rFonts w:hint="eastAsia" w:ascii="宋体" w:hAnsi="宋体" w:eastAsia="宋体" w:cs="宋体"/>
          <w:b w:val="0"/>
          <w:bCs w:val="0"/>
          <w:kern w:val="0"/>
          <w:sz w:val="24"/>
          <w:szCs w:val="24"/>
          <w:lang w:val="zh-CN"/>
        </w:rPr>
        <w:t>应</w:t>
      </w:r>
      <w:r>
        <w:rPr>
          <w:rFonts w:hint="eastAsia" w:ascii="宋体" w:hAnsi="宋体" w:eastAsia="宋体" w:cs="宋体"/>
          <w:b w:val="0"/>
          <w:bCs w:val="0"/>
          <w:kern w:val="0"/>
          <w:sz w:val="24"/>
          <w:szCs w:val="24"/>
          <w:lang w:val="zh-CN" w:eastAsia="zh-CN"/>
        </w:rPr>
        <w:t>视为资格审查不合格，并按照无效投标处理：</w:t>
      </w:r>
    </w:p>
    <w:p>
      <w:pPr>
        <w:pStyle w:val="94"/>
        <w:keepNext w:val="0"/>
        <w:keepLines w:val="0"/>
        <w:pageBreakBefore w:val="0"/>
        <w:widowControl w:val="0"/>
        <w:numPr>
          <w:ilvl w:val="0"/>
          <w:numId w:val="32"/>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应具备《政府采购法》第二十二条第一款规定的条件</w:t>
      </w: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提供下列材料</w:t>
      </w:r>
      <w:r>
        <w:rPr>
          <w:rFonts w:hint="eastAsia" w:ascii="宋体" w:hAnsi="宋体" w:eastAsia="宋体" w:cs="宋体"/>
          <w:b w:val="0"/>
          <w:bCs w:val="0"/>
          <w:sz w:val="24"/>
          <w:szCs w:val="24"/>
          <w:lang w:val="zh-CN"/>
        </w:rPr>
        <w:t>：</w:t>
      </w:r>
    </w:p>
    <w:p>
      <w:pPr>
        <w:pStyle w:val="94"/>
        <w:keepNext w:val="0"/>
        <w:keepLines w:val="0"/>
        <w:pageBreakBefore w:val="0"/>
        <w:widowControl w:val="0"/>
        <w:numPr>
          <w:ilvl w:val="0"/>
          <w:numId w:val="33"/>
        </w:numPr>
        <w:kinsoku/>
        <w:wordWrap/>
        <w:overflowPunct/>
        <w:topLinePunct w:val="0"/>
        <w:autoSpaceDE/>
        <w:autoSpaceDN/>
        <w:bidi w:val="0"/>
        <w:adjustRightInd/>
        <w:snapToGrid/>
        <w:spacing w:line="360" w:lineRule="auto"/>
        <w:ind w:left="958" w:hanging="482"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法人或者其他组织的营业执照等证明文件，自然人的身份证明</w:t>
      </w:r>
      <w:r>
        <w:rPr>
          <w:rFonts w:hint="eastAsia" w:ascii="宋体" w:hAnsi="宋体" w:eastAsia="宋体" w:cs="宋体"/>
          <w:b w:val="0"/>
          <w:bCs w:val="0"/>
          <w:sz w:val="24"/>
          <w:szCs w:val="24"/>
        </w:rPr>
        <w:t>（投标人根据自身情况提供对应的证明材料）</w:t>
      </w:r>
      <w:r>
        <w:rPr>
          <w:rFonts w:hint="eastAsia" w:ascii="宋体" w:hAnsi="宋体" w:eastAsia="宋体" w:cs="宋体"/>
          <w:b w:val="0"/>
          <w:bCs w:val="0"/>
          <w:sz w:val="24"/>
          <w:szCs w:val="24"/>
          <w:lang w:val="zh-CN"/>
        </w:rPr>
        <w:t>：</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法人</w:t>
      </w:r>
    </w:p>
    <w:p>
      <w:pPr>
        <w:pStyle w:val="94"/>
        <w:keepNext w:val="0"/>
        <w:keepLines w:val="0"/>
        <w:pageBreakBefore w:val="0"/>
        <w:widowControl w:val="0"/>
        <w:numPr>
          <w:ilvl w:val="1"/>
          <w:numId w:val="35"/>
        </w:numPr>
        <w:kinsoku/>
        <w:wordWrap/>
        <w:overflowPunct/>
        <w:topLinePunct w:val="0"/>
        <w:autoSpaceDE/>
        <w:autoSpaceDN/>
        <w:bidi w:val="0"/>
        <w:adjustRightInd/>
        <w:snapToGrid/>
        <w:spacing w:line="360" w:lineRule="auto"/>
        <w:ind w:left="1435" w:hanging="482"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企业法人（包括合伙企业）：提供工商部门注册的有效“企业法人营业执照”或“营业执照”；</w:t>
      </w:r>
    </w:p>
    <w:p>
      <w:pPr>
        <w:pStyle w:val="94"/>
        <w:keepNext w:val="0"/>
        <w:keepLines w:val="0"/>
        <w:pageBreakBefore w:val="0"/>
        <w:widowControl w:val="0"/>
        <w:numPr>
          <w:ilvl w:val="1"/>
          <w:numId w:val="35"/>
        </w:numPr>
        <w:kinsoku/>
        <w:wordWrap/>
        <w:overflowPunct/>
        <w:topLinePunct w:val="0"/>
        <w:autoSpaceDE/>
        <w:autoSpaceDN/>
        <w:bidi w:val="0"/>
        <w:adjustRightInd/>
        <w:snapToGrid/>
        <w:spacing w:line="360" w:lineRule="auto"/>
        <w:ind w:left="1435" w:hanging="482"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事业单位法人：提供有效的“事业单位法人证书”。</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其他组织</w:t>
      </w:r>
    </w:p>
    <w:p>
      <w:pPr>
        <w:pStyle w:val="94"/>
        <w:keepNext w:val="0"/>
        <w:keepLines w:val="0"/>
        <w:pageBreakBefore w:val="0"/>
        <w:widowControl w:val="0"/>
        <w:numPr>
          <w:ilvl w:val="0"/>
          <w:numId w:val="36"/>
        </w:numPr>
        <w:kinsoku/>
        <w:wordWrap/>
        <w:overflowPunct/>
        <w:topLinePunct w:val="0"/>
        <w:autoSpaceDE/>
        <w:autoSpaceDN/>
        <w:bidi w:val="0"/>
        <w:adjustRightInd/>
        <w:snapToGrid/>
        <w:spacing w:line="360" w:lineRule="auto"/>
        <w:ind w:left="1435" w:hanging="482"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非企业专业服务机构：提供执业许可证等证明文件；</w:t>
      </w:r>
    </w:p>
    <w:p>
      <w:pPr>
        <w:pStyle w:val="94"/>
        <w:keepNext w:val="0"/>
        <w:keepLines w:val="0"/>
        <w:pageBreakBefore w:val="0"/>
        <w:widowControl w:val="0"/>
        <w:numPr>
          <w:ilvl w:val="0"/>
          <w:numId w:val="36"/>
        </w:numPr>
        <w:kinsoku/>
        <w:wordWrap/>
        <w:overflowPunct/>
        <w:topLinePunct w:val="0"/>
        <w:autoSpaceDE/>
        <w:autoSpaceDN/>
        <w:bidi w:val="0"/>
        <w:adjustRightInd/>
        <w:snapToGrid/>
        <w:spacing w:line="360" w:lineRule="auto"/>
        <w:ind w:left="1435" w:hanging="482"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个体工商户：提供有效的“个体工商户营业执照”。</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自然人：提供有效的自然人身份证明。（仅限中国公民）</w:t>
      </w:r>
    </w:p>
    <w:p>
      <w:pPr>
        <w:pStyle w:val="94"/>
        <w:keepNext w:val="0"/>
        <w:keepLines w:val="0"/>
        <w:pageBreakBefore w:val="0"/>
        <w:widowControl w:val="0"/>
        <w:numPr>
          <w:ilvl w:val="0"/>
          <w:numId w:val="33"/>
        </w:numPr>
        <w:kinsoku/>
        <w:wordWrap/>
        <w:overflowPunct/>
        <w:topLinePunct w:val="0"/>
        <w:autoSpaceDE/>
        <w:autoSpaceDN/>
        <w:bidi w:val="0"/>
        <w:adjustRightInd/>
        <w:snapToGrid/>
        <w:spacing w:line="360" w:lineRule="auto"/>
        <w:ind w:left="958" w:hanging="482"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zh-CN" w:eastAsia="zh-CN"/>
        </w:rPr>
        <w:t>财务状况报告，依法缴纳税收和社会保障资金的相关材料</w:t>
      </w:r>
      <w:r>
        <w:rPr>
          <w:rFonts w:hint="eastAsia" w:ascii="宋体" w:hAnsi="宋体" w:eastAsia="宋体" w:cs="宋体"/>
          <w:b w:val="0"/>
          <w:bCs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0"/>
          <w:lang w:val="zh-CN"/>
        </w:rPr>
        <w:t>应提交“</w:t>
      </w:r>
      <w:r>
        <w:rPr>
          <w:rFonts w:hint="eastAsia" w:ascii="宋体" w:hAnsi="宋体" w:eastAsia="宋体" w:cs="宋体"/>
          <w:b w:val="0"/>
          <w:bCs w:val="0"/>
          <w:sz w:val="24"/>
          <w:szCs w:val="24"/>
        </w:rPr>
        <w:t>财务状况报告，依法缴纳税收和社会保障资金的声明</w:t>
      </w:r>
      <w:r>
        <w:rPr>
          <w:rFonts w:hint="eastAsia" w:ascii="宋体" w:hAnsi="宋体" w:eastAsia="宋体" w:cs="宋体"/>
          <w:b w:val="0"/>
          <w:bCs w:val="0"/>
          <w:sz w:val="24"/>
          <w:szCs w:val="20"/>
          <w:lang w:val="zh-CN"/>
        </w:rPr>
        <w:t>函”</w:t>
      </w:r>
    </w:p>
    <w:p>
      <w:pPr>
        <w:pStyle w:val="94"/>
        <w:keepNext w:val="0"/>
        <w:keepLines w:val="0"/>
        <w:pageBreakBefore w:val="0"/>
        <w:widowControl w:val="0"/>
        <w:numPr>
          <w:ilvl w:val="0"/>
          <w:numId w:val="33"/>
        </w:numPr>
        <w:kinsoku/>
        <w:wordWrap/>
        <w:overflowPunct/>
        <w:topLinePunct w:val="0"/>
        <w:autoSpaceDE/>
        <w:autoSpaceDN/>
        <w:bidi w:val="0"/>
        <w:adjustRightInd/>
        <w:snapToGrid/>
        <w:spacing w:line="360" w:lineRule="auto"/>
        <w:ind w:left="958" w:hanging="482"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具备履行合同所必需的设备和专业技术能力的证明材料</w:t>
      </w:r>
      <w:r>
        <w:rPr>
          <w:rFonts w:hint="eastAsia" w:ascii="宋体" w:hAnsi="宋体" w:eastAsia="宋体" w:cs="宋体"/>
          <w:b w:val="0"/>
          <w:bCs w:val="0"/>
          <w:sz w:val="24"/>
          <w:szCs w:val="24"/>
          <w:lang w:val="zh-CN"/>
        </w:rPr>
        <w:t>：</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提供具备足够数量的设施设备的证明材料；</w:t>
      </w:r>
    </w:p>
    <w:p>
      <w:pPr>
        <w:keepNext w:val="0"/>
        <w:keepLines w:val="0"/>
        <w:pageBreakBefore w:val="0"/>
        <w:widowControl w:val="0"/>
        <w:numPr>
          <w:ilvl w:val="0"/>
          <w:numId w:val="37"/>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提供具备足够数量的技术人员的证明材料。</w:t>
      </w:r>
    </w:p>
    <w:p>
      <w:pPr>
        <w:pStyle w:val="94"/>
        <w:keepNext w:val="0"/>
        <w:keepLines w:val="0"/>
        <w:pageBreakBefore w:val="0"/>
        <w:widowControl w:val="0"/>
        <w:numPr>
          <w:ilvl w:val="0"/>
          <w:numId w:val="33"/>
        </w:numPr>
        <w:kinsoku/>
        <w:wordWrap/>
        <w:overflowPunct/>
        <w:topLinePunct w:val="0"/>
        <w:autoSpaceDE/>
        <w:autoSpaceDN/>
        <w:bidi w:val="0"/>
        <w:adjustRightInd/>
        <w:snapToGrid/>
        <w:spacing w:line="360" w:lineRule="auto"/>
        <w:ind w:left="958" w:hanging="482"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参加政府采购活动前3年内在经营活动中没有重大违法记录的声明</w:t>
      </w:r>
      <w:r>
        <w:rPr>
          <w:rFonts w:hint="eastAsia" w:ascii="宋体" w:hAnsi="宋体" w:eastAsia="宋体" w:cs="宋体"/>
          <w:b w:val="0"/>
          <w:bCs w:val="0"/>
          <w:sz w:val="24"/>
          <w:szCs w:val="24"/>
          <w:lang w:val="zh-CN"/>
        </w:rPr>
        <w:t>：</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应提交“无重大违法记录的声明函”；</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政府采购法第二十二条第一款第五项所称重大违法记录，是指供应商因违法经营受到刑事处罚或者责令停产停业、吊销许可证或者执照、较大数额罚款等行政处罚；</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lang w:val="zh-CN"/>
        </w:rPr>
        <w:t>按照财政部《关于规范政府采购行政处罚有关问题的通知》的规定，各级人民政府财政部门依法对参加政府采购活动的供应商作出的禁止参加政府采购活动等行政处罚决定在全国范围内生效。</w:t>
      </w:r>
    </w:p>
    <w:p>
      <w:pPr>
        <w:pStyle w:val="94"/>
        <w:keepNext w:val="0"/>
        <w:keepLines w:val="0"/>
        <w:pageBreakBefore w:val="0"/>
        <w:widowControl w:val="0"/>
        <w:numPr>
          <w:ilvl w:val="0"/>
          <w:numId w:val="33"/>
        </w:numPr>
        <w:kinsoku/>
        <w:wordWrap/>
        <w:overflowPunct/>
        <w:topLinePunct w:val="0"/>
        <w:autoSpaceDE/>
        <w:autoSpaceDN/>
        <w:bidi w:val="0"/>
        <w:adjustRightInd/>
        <w:snapToGrid/>
        <w:spacing w:line="360" w:lineRule="auto"/>
        <w:ind w:left="958" w:hanging="482"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具备法律、行政法规规定的其他条件的证明材料</w:t>
      </w:r>
      <w:r>
        <w:rPr>
          <w:rFonts w:hint="eastAsia" w:ascii="宋体" w:hAnsi="宋体" w:eastAsia="宋体" w:cs="宋体"/>
          <w:b w:val="0"/>
          <w:bCs w:val="0"/>
          <w:sz w:val="24"/>
          <w:szCs w:val="24"/>
          <w:lang w:val="zh-CN"/>
        </w:rPr>
        <w:t>：</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auto"/>
        <w:ind w:left="1321" w:hanging="720"/>
        <w:textAlignment w:val="auto"/>
        <w:rPr>
          <w:rFonts w:hint="eastAsia" w:ascii="宋体" w:hAnsi="宋体" w:eastAsia="宋体" w:cs="宋体"/>
          <w:b w:val="0"/>
          <w:bCs w:val="0"/>
          <w:sz w:val="24"/>
          <w:szCs w:val="20"/>
          <w:lang w:val="zh-CN"/>
        </w:rPr>
      </w:pPr>
      <w:r>
        <w:rPr>
          <w:rFonts w:hint="eastAsia" w:ascii="宋体" w:hAnsi="宋体" w:eastAsia="宋体" w:cs="宋体"/>
          <w:b w:val="0"/>
          <w:bCs w:val="0"/>
          <w:sz w:val="24"/>
          <w:szCs w:val="20"/>
        </w:rPr>
        <w:t>国家对生产和销售相关产品或提供相关服务有专门法律、行政法规规定的，则必须提供取得国家有关主管部门行政许可的证明材料。</w:t>
      </w:r>
    </w:p>
    <w:p>
      <w:pPr>
        <w:pStyle w:val="94"/>
        <w:keepNext w:val="0"/>
        <w:keepLines w:val="0"/>
        <w:pageBreakBefore w:val="0"/>
        <w:widowControl w:val="0"/>
        <w:numPr>
          <w:ilvl w:val="0"/>
          <w:numId w:val="32"/>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单位负责人为同一人或者存在直接控股、管理关系的不同投标人，</w:t>
      </w:r>
      <w:r>
        <w:rPr>
          <w:rFonts w:hint="eastAsia" w:ascii="宋体" w:hAnsi="宋体" w:eastAsia="宋体" w:cs="宋体"/>
          <w:b w:val="0"/>
          <w:bCs w:val="0"/>
          <w:sz w:val="24"/>
          <w:szCs w:val="24"/>
          <w:lang w:val="zh-CN"/>
        </w:rPr>
        <w:t>不得</w:t>
      </w:r>
      <w:r>
        <w:rPr>
          <w:rFonts w:hint="eastAsia" w:ascii="宋体" w:hAnsi="宋体" w:eastAsia="宋体" w:cs="宋体"/>
          <w:b w:val="0"/>
          <w:bCs w:val="0"/>
          <w:sz w:val="24"/>
          <w:szCs w:val="24"/>
          <w:lang w:val="zh-CN" w:eastAsia="zh-CN"/>
        </w:rPr>
        <w:t>参加本项目同一合同项下的政府采购活动</w:t>
      </w:r>
      <w:r>
        <w:rPr>
          <w:rFonts w:hint="eastAsia" w:ascii="宋体" w:hAnsi="宋体" w:eastAsia="宋体" w:cs="宋体"/>
          <w:b w:val="0"/>
          <w:bCs w:val="0"/>
          <w:sz w:val="24"/>
          <w:szCs w:val="24"/>
          <w:lang w:val="zh-CN"/>
        </w:rPr>
        <w:t>；</w:t>
      </w:r>
    </w:p>
    <w:p>
      <w:pPr>
        <w:pStyle w:val="94"/>
        <w:pageBreakBefore w:val="0"/>
        <w:widowControl w:val="0"/>
        <w:kinsoku/>
        <w:wordWrap/>
        <w:overflowPunct/>
        <w:topLinePunct w:val="0"/>
        <w:autoSpaceDE/>
        <w:autoSpaceDN/>
        <w:bidi w:val="0"/>
        <w:adjustRightInd/>
        <w:snapToGrid/>
        <w:spacing w:line="360" w:lineRule="auto"/>
        <w:ind w:left="846" w:firstLine="0"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应提交“未与单位负责人为同一人或者存在直接控股、管理关系的其它投标人，参加同一合同项下的政府采购</w:t>
      </w:r>
      <w:r>
        <w:rPr>
          <w:rFonts w:hint="eastAsia" w:ascii="宋体" w:hAnsi="宋体" w:eastAsia="宋体" w:cs="宋体"/>
          <w:b w:val="0"/>
          <w:bCs w:val="0"/>
          <w:sz w:val="24"/>
          <w:szCs w:val="24"/>
          <w:lang w:val="zh-CN"/>
        </w:rPr>
        <w:t>活动</w:t>
      </w:r>
      <w:r>
        <w:rPr>
          <w:rFonts w:hint="eastAsia" w:ascii="宋体" w:hAnsi="宋体" w:eastAsia="宋体" w:cs="宋体"/>
          <w:b w:val="0"/>
          <w:bCs w:val="0"/>
          <w:sz w:val="24"/>
          <w:szCs w:val="24"/>
          <w:lang w:val="zh-CN" w:eastAsia="zh-CN"/>
        </w:rPr>
        <w:t>声明函”</w:t>
      </w:r>
    </w:p>
    <w:p>
      <w:pPr>
        <w:pStyle w:val="94"/>
        <w:pageBreakBefore w:val="0"/>
        <w:widowControl w:val="0"/>
        <w:numPr>
          <w:ilvl w:val="0"/>
          <w:numId w:val="32"/>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为本采购项目提供整体设计、规范编制或者项目管理、监理、检测等服务的，</w:t>
      </w:r>
      <w:r>
        <w:rPr>
          <w:rFonts w:hint="eastAsia" w:ascii="宋体" w:hAnsi="宋体" w:eastAsia="宋体" w:cs="宋体"/>
          <w:b w:val="0"/>
          <w:bCs w:val="0"/>
          <w:sz w:val="24"/>
          <w:szCs w:val="24"/>
          <w:lang w:val="zh-CN"/>
        </w:rPr>
        <w:t>不得再</w:t>
      </w:r>
      <w:r>
        <w:rPr>
          <w:rFonts w:hint="eastAsia" w:ascii="宋体" w:hAnsi="宋体" w:eastAsia="宋体" w:cs="宋体"/>
          <w:b w:val="0"/>
          <w:bCs w:val="0"/>
          <w:sz w:val="24"/>
          <w:szCs w:val="24"/>
          <w:lang w:val="zh-CN" w:eastAsia="zh-CN"/>
        </w:rPr>
        <w:t>参加本项目的其他招标采购活动</w:t>
      </w:r>
      <w:r>
        <w:rPr>
          <w:rFonts w:hint="eastAsia" w:ascii="宋体" w:hAnsi="宋体" w:eastAsia="宋体" w:cs="宋体"/>
          <w:b w:val="0"/>
          <w:bCs w:val="0"/>
          <w:sz w:val="24"/>
          <w:szCs w:val="24"/>
          <w:lang w:val="zh-CN"/>
        </w:rPr>
        <w:t>；</w:t>
      </w:r>
    </w:p>
    <w:p>
      <w:pPr>
        <w:pStyle w:val="94"/>
        <w:pageBreakBefore w:val="0"/>
        <w:widowControl w:val="0"/>
        <w:kinsoku/>
        <w:wordWrap/>
        <w:overflowPunct/>
        <w:topLinePunct w:val="0"/>
        <w:autoSpaceDE/>
        <w:autoSpaceDN/>
        <w:bidi w:val="0"/>
        <w:adjustRightInd/>
        <w:snapToGrid/>
        <w:spacing w:line="360" w:lineRule="auto"/>
        <w:ind w:left="846" w:firstLine="0" w:firstLineChars="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eastAsia="zh-CN"/>
        </w:rPr>
        <w:t>应提交“</w:t>
      </w:r>
      <w:r>
        <w:rPr>
          <w:rFonts w:hint="eastAsia" w:ascii="宋体" w:hAnsi="宋体" w:eastAsia="宋体" w:cs="宋体"/>
          <w:b w:val="0"/>
          <w:bCs w:val="0"/>
          <w:sz w:val="24"/>
          <w:szCs w:val="24"/>
          <w:lang w:val="zh-CN"/>
        </w:rPr>
        <w:t>未</w:t>
      </w:r>
      <w:r>
        <w:rPr>
          <w:rFonts w:hint="eastAsia" w:ascii="宋体" w:hAnsi="宋体" w:eastAsia="宋体" w:cs="宋体"/>
          <w:b w:val="0"/>
          <w:bCs w:val="0"/>
          <w:sz w:val="24"/>
          <w:szCs w:val="24"/>
          <w:lang w:val="zh-CN" w:eastAsia="zh-CN"/>
        </w:rPr>
        <w:t>为本采购项目提供整体设计、规范编制或者项目管理、监理、检测等服务的声明函”</w:t>
      </w:r>
    </w:p>
    <w:p>
      <w:pPr>
        <w:pStyle w:val="94"/>
        <w:pageBreakBefore w:val="0"/>
        <w:widowControl w:val="0"/>
        <w:numPr>
          <w:ilvl w:val="0"/>
          <w:numId w:val="32"/>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未被“信用中国”网站(www.creditchina.gov.cn) 、“中国政府采购网”(www.ccgp.gov.cn)列入失信被执行人、重大税收违法案件当事人名单、政府采购严重违法失信行为记录名单</w:t>
      </w:r>
      <w:r>
        <w:rPr>
          <w:rFonts w:hint="eastAsia" w:ascii="宋体" w:hAnsi="宋体" w:eastAsia="宋体" w:cs="宋体"/>
          <w:b w:val="0"/>
          <w:bCs w:val="0"/>
          <w:sz w:val="24"/>
          <w:szCs w:val="24"/>
          <w:lang w:val="zh-CN"/>
        </w:rPr>
        <w:t>：</w:t>
      </w:r>
    </w:p>
    <w:p>
      <w:pPr>
        <w:pStyle w:val="94"/>
        <w:pageBreakBefore w:val="0"/>
        <w:widowControl w:val="0"/>
        <w:kinsoku/>
        <w:wordWrap/>
        <w:overflowPunct/>
        <w:topLinePunct w:val="0"/>
        <w:autoSpaceDE/>
        <w:autoSpaceDN/>
        <w:bidi w:val="0"/>
        <w:adjustRightInd/>
        <w:snapToGrid/>
        <w:spacing w:line="360" w:lineRule="auto"/>
        <w:ind w:left="840" w:firstLine="0"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0"/>
          <w:lang w:val="zh-CN"/>
        </w:rPr>
        <w:t>应提交“未被列入记录名单的声明函”</w:t>
      </w:r>
    </w:p>
    <w:p>
      <w:pPr>
        <w:pStyle w:val="94"/>
        <w:pageBreakBefore w:val="0"/>
        <w:widowControl w:val="0"/>
        <w:numPr>
          <w:ilvl w:val="0"/>
          <w:numId w:val="32"/>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rPr>
        <w:t>落实政府采购政策应提供的资料；</w:t>
      </w:r>
    </w:p>
    <w:p>
      <w:pPr>
        <w:pStyle w:val="94"/>
        <w:pageBreakBefore w:val="0"/>
        <w:widowControl w:val="0"/>
        <w:numPr>
          <w:ilvl w:val="0"/>
          <w:numId w:val="32"/>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招标文件第一章“投标人资格要求”中有特殊要求的，投标人应提供其符合特殊要求的证明材料或者情况说明；</w:t>
      </w:r>
    </w:p>
    <w:p>
      <w:pPr>
        <w:pStyle w:val="94"/>
        <w:pageBreakBefore w:val="0"/>
        <w:widowControl w:val="0"/>
        <w:numPr>
          <w:ilvl w:val="0"/>
          <w:numId w:val="32"/>
        </w:numPr>
        <w:kinsoku/>
        <w:wordWrap/>
        <w:overflowPunct/>
        <w:topLinePunct w:val="0"/>
        <w:autoSpaceDE/>
        <w:autoSpaceDN/>
        <w:bidi w:val="0"/>
        <w:adjustRightInd/>
        <w:snapToGrid/>
        <w:spacing w:line="360" w:lineRule="auto"/>
        <w:ind w:left="964" w:hanging="488"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投标人认为需提供的其它相关资格证明材料；</w:t>
      </w:r>
    </w:p>
    <w:p>
      <w:pPr>
        <w:pStyle w:val="94"/>
        <w:pageBreakBefore w:val="0"/>
        <w:widowControl w:val="0"/>
        <w:numPr>
          <w:ilvl w:val="0"/>
          <w:numId w:val="32"/>
        </w:numPr>
        <w:kinsoku/>
        <w:wordWrap/>
        <w:overflowPunct/>
        <w:topLinePunct w:val="0"/>
        <w:autoSpaceDE/>
        <w:autoSpaceDN/>
        <w:bidi w:val="0"/>
        <w:adjustRightInd/>
        <w:snapToGrid/>
        <w:spacing w:line="360" w:lineRule="auto"/>
        <w:ind w:left="964" w:hanging="488" w:firstLineChars="0"/>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资格证明文件应为清晰影印件且加盖单位公章。</w:t>
      </w:r>
    </w:p>
    <w:p>
      <w:pPr>
        <w:pageBreakBefore w:val="0"/>
        <w:widowControl w:val="0"/>
        <w:numPr>
          <w:ilvl w:val="0"/>
          <w:numId w:val="31"/>
        </w:numPr>
        <w:tabs>
          <w:tab w:val="left" w:pos="1098"/>
        </w:tabs>
        <w:kinsoku/>
        <w:wordWrap/>
        <w:overflowPunct/>
        <w:topLinePunct w:val="0"/>
        <w:autoSpaceDE/>
        <w:autoSpaceDN/>
        <w:bidi w:val="0"/>
        <w:adjustRightInd/>
        <w:snapToGrid/>
        <w:spacing w:line="360" w:lineRule="auto"/>
        <w:ind w:left="14" w:firstLine="238"/>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确定资格审查合格投标人</w:t>
      </w:r>
    </w:p>
    <w:p>
      <w:pPr>
        <w:pStyle w:val="94"/>
        <w:pageBreakBefore w:val="0"/>
        <w:widowControl w:val="0"/>
        <w:numPr>
          <w:ilvl w:val="0"/>
          <w:numId w:val="40"/>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资格审查小组按照本章“资格审查方法及标准”，对各投标人资格证明文件进行审查。资格审查小组依据对各投标人资格证明文件的审查结果，确定资格审查合格的投标人，并形成资格审查报告。</w:t>
      </w:r>
    </w:p>
    <w:p>
      <w:pPr>
        <w:pStyle w:val="94"/>
        <w:pageBreakBefore w:val="0"/>
        <w:widowControl w:val="0"/>
        <w:numPr>
          <w:ilvl w:val="0"/>
          <w:numId w:val="40"/>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资格审查合格投标人不足3家的，不进行评标。</w:t>
      </w:r>
    </w:p>
    <w:p>
      <w:pPr>
        <w:pStyle w:val="94"/>
        <w:pageBreakBefore w:val="0"/>
        <w:widowControl w:val="0"/>
        <w:numPr>
          <w:ilvl w:val="0"/>
          <w:numId w:val="40"/>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资格审查未通过的投标人可在结果公告质疑有效期内按公告中的联系方式获知本单位的资格审查情况。</w:t>
      </w:r>
    </w:p>
    <w:p>
      <w:pPr>
        <w:pStyle w:val="94"/>
        <w:pageBreakBefore w:val="0"/>
        <w:widowControl w:val="0"/>
        <w:numPr>
          <w:ilvl w:val="0"/>
          <w:numId w:val="40"/>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sz w:val="24"/>
          <w:szCs w:val="24"/>
          <w:lang w:val="zh-CN" w:eastAsia="zh-CN"/>
        </w:rPr>
      </w:pPr>
      <w:r>
        <w:rPr>
          <w:rFonts w:hint="eastAsia" w:ascii="宋体" w:hAnsi="宋体" w:eastAsia="宋体" w:cs="宋体"/>
          <w:sz w:val="24"/>
          <w:szCs w:val="24"/>
          <w:lang w:val="zh-CN" w:eastAsia="zh-CN"/>
        </w:rPr>
        <w:t>采购人已进行资格预审的，未通过资格预审的投标人集中采购机构</w:t>
      </w:r>
      <w:r>
        <w:rPr>
          <w:rFonts w:hint="eastAsia" w:ascii="宋体" w:hAnsi="宋体" w:eastAsia="宋体" w:cs="宋体"/>
          <w:b/>
          <w:sz w:val="24"/>
          <w:szCs w:val="24"/>
          <w:lang w:val="zh-CN" w:eastAsia="zh-CN"/>
        </w:rPr>
        <w:t>拒绝</w:t>
      </w:r>
      <w:r>
        <w:rPr>
          <w:rFonts w:hint="eastAsia" w:ascii="宋体" w:hAnsi="宋体" w:eastAsia="宋体" w:cs="宋体"/>
          <w:sz w:val="24"/>
          <w:szCs w:val="24"/>
          <w:lang w:val="zh-CN" w:eastAsia="zh-CN"/>
        </w:rPr>
        <w:t>其投标。</w:t>
      </w:r>
    </w:p>
    <w:p>
      <w:pPr>
        <w:pageBreakBefore w:val="0"/>
        <w:widowControl w:val="0"/>
        <w:kinsoku/>
        <w:wordWrap/>
        <w:overflowPunct/>
        <w:topLinePunct w:val="0"/>
        <w:autoSpaceDE/>
        <w:autoSpaceDN/>
        <w:bidi w:val="0"/>
        <w:adjustRightInd/>
        <w:snapToGrid/>
        <w:spacing w:line="360" w:lineRule="auto"/>
        <w:ind w:left="826" w:hanging="826" w:hangingChars="343"/>
        <w:textAlignment w:val="auto"/>
        <w:rPr>
          <w:rFonts w:hint="eastAsia" w:ascii="宋体" w:hAnsi="宋体" w:eastAsia="宋体" w:cs="宋体"/>
          <w:b/>
          <w:sz w:val="24"/>
          <w:szCs w:val="24"/>
          <w:lang w:val="zh-CN" w:eastAsia="zh-CN"/>
        </w:rPr>
      </w:pPr>
      <w:r>
        <w:rPr>
          <w:rFonts w:hint="eastAsia" w:ascii="宋体" w:hAnsi="宋体" w:eastAsia="宋体" w:cs="宋体"/>
          <w:b/>
          <w:sz w:val="24"/>
          <w:szCs w:val="24"/>
          <w:lang w:val="zh-CN" w:eastAsia="zh-CN"/>
        </w:rPr>
        <w:br w:type="page"/>
      </w:r>
    </w:p>
    <w:p>
      <w:pPr>
        <w:pStyle w:val="94"/>
        <w:pageBreakBefore w:val="0"/>
        <w:widowControl w:val="0"/>
        <w:numPr>
          <w:ilvl w:val="0"/>
          <w:numId w:val="40"/>
        </w:numPr>
        <w:kinsoku/>
        <w:wordWrap/>
        <w:overflowPunct/>
        <w:topLinePunct w:val="0"/>
        <w:autoSpaceDE/>
        <w:autoSpaceDN/>
        <w:bidi w:val="0"/>
        <w:adjustRightInd/>
        <w:snapToGrid/>
        <w:spacing w:line="360" w:lineRule="auto"/>
        <w:ind w:left="840" w:hanging="364" w:firstLineChars="0"/>
        <w:textAlignment w:val="auto"/>
        <w:rPr>
          <w:rFonts w:hint="eastAsia" w:ascii="宋体" w:hAnsi="宋体" w:eastAsia="宋体" w:cs="宋体"/>
          <w:b/>
          <w:sz w:val="24"/>
          <w:szCs w:val="24"/>
          <w:lang w:val="zh-CN" w:eastAsia="zh-CN"/>
        </w:rPr>
        <w:sectPr>
          <w:pgSz w:w="11906" w:h="16838"/>
          <w:pgMar w:top="1134" w:right="1191" w:bottom="1134" w:left="1191" w:header="851" w:footer="992" w:gutter="0"/>
          <w:cols w:space="425" w:num="1"/>
          <w:docGrid w:type="lines" w:linePitch="312" w:charSpace="0"/>
        </w:sectPr>
      </w:pPr>
    </w:p>
    <w:p>
      <w:pPr>
        <w:pStyle w:val="3"/>
        <w:pageBreakBefore/>
        <w:numPr>
          <w:ilvl w:val="0"/>
          <w:numId w:val="1"/>
        </w:numPr>
        <w:jc w:val="center"/>
        <w:rPr>
          <w:rFonts w:ascii="黑体" w:hAnsi="黑体" w:eastAsia="黑体"/>
          <w:color w:val="auto"/>
        </w:rPr>
      </w:pPr>
      <w:bookmarkStart w:id="49" w:name="_Toc29943"/>
      <w:r>
        <w:rPr>
          <w:rFonts w:hint="eastAsia" w:ascii="黑体" w:hAnsi="黑体" w:eastAsia="黑体"/>
          <w:color w:val="auto"/>
        </w:rPr>
        <w:t>评标方法、程序及标准</w:t>
      </w:r>
      <w:bookmarkEnd w:id="49"/>
    </w:p>
    <w:p>
      <w:pPr>
        <w:spacing w:line="480" w:lineRule="exact"/>
        <w:ind w:firstLine="482" w:firstLineChars="200"/>
        <w:rPr>
          <w:rFonts w:ascii="宋体" w:hAnsi="宋体"/>
          <w:bCs/>
          <w:color w:val="auto"/>
          <w:sz w:val="24"/>
          <w:szCs w:val="20"/>
        </w:rPr>
      </w:pPr>
      <w:r>
        <w:rPr>
          <w:rFonts w:hint="eastAsia" w:ascii="宋体" w:hAnsi="宋体"/>
          <w:bCs/>
          <w:color w:val="auto"/>
          <w:sz w:val="24"/>
          <w:szCs w:val="20"/>
        </w:rPr>
        <w:t>根据《政府采购法》、《政府采购法实施条例》、《政府采购货物和服务招标投标管理办法》等相关法律法规确定以下评标办法、程序及标准。</w:t>
      </w:r>
    </w:p>
    <w:p>
      <w:pPr>
        <w:pStyle w:val="65"/>
        <w:numPr>
          <w:ilvl w:val="0"/>
          <w:numId w:val="41"/>
        </w:numPr>
        <w:spacing w:line="480" w:lineRule="exact"/>
        <w:rPr>
          <w:b/>
          <w:bCs/>
          <w:color w:val="auto"/>
        </w:rPr>
      </w:pPr>
      <w:bookmarkStart w:id="50" w:name="_Toc278891605"/>
      <w:bookmarkStart w:id="51" w:name="_Toc272247708"/>
      <w:bookmarkStart w:id="52" w:name="_Toc494561961"/>
      <w:bookmarkStart w:id="53" w:name="_Toc22620"/>
      <w:r>
        <w:rPr>
          <w:rFonts w:hint="eastAsia"/>
          <w:b/>
          <w:bCs/>
          <w:color w:val="auto"/>
        </w:rPr>
        <w:t>评标</w:t>
      </w:r>
      <w:bookmarkEnd w:id="50"/>
      <w:bookmarkEnd w:id="51"/>
      <w:r>
        <w:rPr>
          <w:rFonts w:hint="eastAsia"/>
          <w:b/>
          <w:bCs/>
          <w:color w:val="auto"/>
        </w:rPr>
        <w:t>方法</w:t>
      </w:r>
      <w:bookmarkEnd w:id="52"/>
      <w:bookmarkEnd w:id="53"/>
    </w:p>
    <w:p>
      <w:pPr>
        <w:spacing w:line="480" w:lineRule="exact"/>
        <w:ind w:firstLine="482" w:firstLineChars="200"/>
        <w:rPr>
          <w:rFonts w:ascii="宋体" w:hAnsi="宋体"/>
          <w:bCs/>
          <w:color w:val="auto"/>
          <w:sz w:val="24"/>
          <w:szCs w:val="20"/>
        </w:rPr>
      </w:pPr>
      <w:r>
        <w:rPr>
          <w:rFonts w:hint="eastAsia" w:ascii="宋体" w:hAnsi="宋体"/>
          <w:bCs/>
          <w:color w:val="auto"/>
          <w:sz w:val="24"/>
          <w:szCs w:val="20"/>
        </w:rPr>
        <w:t>本项目评标采用综合评分法，</w:t>
      </w:r>
      <w:r>
        <w:rPr>
          <w:rFonts w:ascii="宋体" w:hAnsi="宋体"/>
          <w:bCs/>
          <w:color w:val="auto"/>
          <w:sz w:val="24"/>
          <w:szCs w:val="20"/>
        </w:rPr>
        <w:t>是指投标文件满足招标文件全部实质性要求，且按照评审因素的量化指标评审得分最高的投标人为中标候选人的评标方法。</w:t>
      </w:r>
    </w:p>
    <w:p>
      <w:pPr>
        <w:pStyle w:val="65"/>
        <w:spacing w:line="480" w:lineRule="exact"/>
        <w:rPr>
          <w:b/>
          <w:bCs/>
          <w:color w:val="auto"/>
        </w:rPr>
      </w:pPr>
      <w:bookmarkStart w:id="54" w:name="_Toc278891606"/>
      <w:bookmarkStart w:id="55" w:name="_Toc272247709"/>
      <w:bookmarkStart w:id="56" w:name="_Toc13935"/>
      <w:bookmarkStart w:id="57" w:name="_Toc494561962"/>
      <w:r>
        <w:rPr>
          <w:rFonts w:hint="eastAsia"/>
          <w:b/>
          <w:bCs/>
          <w:color w:val="auto"/>
        </w:rPr>
        <w:t>评标程序</w:t>
      </w:r>
      <w:bookmarkEnd w:id="54"/>
      <w:bookmarkEnd w:id="55"/>
      <w:r>
        <w:rPr>
          <w:rFonts w:hint="eastAsia"/>
          <w:b/>
          <w:bCs/>
          <w:color w:val="auto"/>
        </w:rPr>
        <w:t>及标准</w:t>
      </w:r>
      <w:bookmarkEnd w:id="56"/>
      <w:bookmarkEnd w:id="57"/>
    </w:p>
    <w:p>
      <w:pPr>
        <w:spacing w:line="480" w:lineRule="exact"/>
        <w:ind w:firstLine="482" w:firstLineChars="200"/>
        <w:rPr>
          <w:rFonts w:ascii="宋体" w:hAnsi="宋体"/>
          <w:bCs/>
          <w:color w:val="auto"/>
          <w:sz w:val="24"/>
          <w:szCs w:val="20"/>
        </w:rPr>
      </w:pPr>
      <w:r>
        <w:rPr>
          <w:rFonts w:hint="eastAsia" w:ascii="宋体" w:hAnsi="宋体"/>
          <w:bCs/>
          <w:color w:val="auto"/>
          <w:sz w:val="24"/>
          <w:szCs w:val="20"/>
        </w:rPr>
        <w:t>评标委员会按以下工作程序进行评标：</w:t>
      </w:r>
      <w:r>
        <w:rPr>
          <w:rFonts w:hint="eastAsia" w:ascii="宋体" w:hAnsi="宋体"/>
          <w:color w:val="auto"/>
          <w:sz w:val="24"/>
          <w:szCs w:val="20"/>
        </w:rPr>
        <w:t>符合性审查、澄清有关问题、综合比较和评价、确定中标候选人名单。</w:t>
      </w:r>
    </w:p>
    <w:p>
      <w:pPr>
        <w:pStyle w:val="5"/>
        <w:tabs>
          <w:tab w:val="left" w:pos="432"/>
          <w:tab w:val="left" w:pos="1260"/>
        </w:tabs>
        <w:spacing w:line="480" w:lineRule="exact"/>
        <w:ind w:left="420"/>
        <w:rPr>
          <w:color w:val="auto"/>
        </w:rPr>
      </w:pPr>
      <w:r>
        <w:rPr>
          <w:rFonts w:hint="eastAsia"/>
          <w:color w:val="auto"/>
        </w:rPr>
        <w:t>1、符合性审查</w:t>
      </w:r>
    </w:p>
    <w:p>
      <w:pPr>
        <w:spacing w:line="360" w:lineRule="auto"/>
        <w:ind w:left="723" w:hanging="723" w:hangingChars="300"/>
        <w:rPr>
          <w:rFonts w:ascii="宋体" w:hAnsi="宋体" w:eastAsia="宋体" w:cs="Times New Roman"/>
          <w:strike/>
          <w:sz w:val="28"/>
          <w:szCs w:val="28"/>
          <w:lang w:val="zh-CN"/>
        </w:rPr>
      </w:pPr>
      <w:r>
        <w:rPr>
          <w:rFonts w:hint="eastAsia" w:ascii="Helvetica" w:hAnsi="Helvetica" w:eastAsia="宋体" w:cs="Helvetica"/>
          <w:b/>
          <w:kern w:val="0"/>
          <w:sz w:val="24"/>
          <w:szCs w:val="24"/>
          <w:lang w:val="zh-CN" w:eastAsia="zh-CN"/>
        </w:rPr>
        <w:t>说明：</w:t>
      </w:r>
      <w:r>
        <w:rPr>
          <w:rFonts w:hint="eastAsia" w:ascii="Helvetica" w:hAnsi="Helvetica" w:eastAsia="宋体" w:cs="Helvetica"/>
          <w:kern w:val="0"/>
          <w:sz w:val="24"/>
          <w:szCs w:val="24"/>
          <w:lang w:val="zh-CN"/>
        </w:rPr>
        <w:t>符合性</w:t>
      </w:r>
      <w:r>
        <w:rPr>
          <w:rFonts w:hint="eastAsia" w:ascii="Helvetica" w:hAnsi="Helvetica" w:eastAsia="宋体" w:cs="Helvetica"/>
          <w:kern w:val="0"/>
          <w:sz w:val="24"/>
          <w:szCs w:val="24"/>
          <w:lang w:val="zh-CN" w:eastAsia="zh-CN"/>
        </w:rPr>
        <w:t>审查内容要求提供的相关证明材料，投标人应对应放入投标文件的</w:t>
      </w:r>
      <w:r>
        <w:rPr>
          <w:rFonts w:hint="eastAsia" w:ascii="宋体" w:hAnsi="宋体" w:eastAsia="宋体" w:cs="Times New Roman"/>
          <w:sz w:val="24"/>
          <w:szCs w:val="24"/>
          <w:lang w:val="zh-CN"/>
        </w:rPr>
        <w:t>“</w:t>
      </w:r>
      <w:r>
        <w:rPr>
          <w:rFonts w:hint="eastAsia" w:ascii="宋体" w:hAnsi="宋体" w:eastAsia="宋体" w:cs="Times New Roman"/>
          <w:sz w:val="24"/>
          <w:szCs w:val="24"/>
          <w:lang w:val="zh-CN" w:eastAsia="zh-CN"/>
        </w:rPr>
        <w:t>第二部分</w:t>
      </w:r>
      <w:r>
        <w:rPr>
          <w:rFonts w:hint="eastAsia" w:ascii="宋体" w:hAnsi="宋体" w:eastAsia="宋体" w:cs="Times New Roman"/>
          <w:sz w:val="24"/>
          <w:szCs w:val="24"/>
          <w:lang w:val="zh-CN"/>
        </w:rPr>
        <w:t xml:space="preserve"> </w:t>
      </w:r>
      <w:r>
        <w:rPr>
          <w:rFonts w:hint="eastAsia" w:ascii="宋体" w:hAnsi="宋体" w:eastAsia="宋体" w:cs="Times New Roman"/>
          <w:sz w:val="24"/>
          <w:szCs w:val="24"/>
          <w:lang w:val="zh-CN" w:eastAsia="zh-CN"/>
        </w:rPr>
        <w:t>商务文件</w:t>
      </w:r>
      <w:r>
        <w:rPr>
          <w:rFonts w:hint="eastAsia" w:ascii="宋体" w:hAnsi="宋体" w:eastAsia="宋体" w:cs="Times New Roman"/>
          <w:sz w:val="24"/>
          <w:szCs w:val="24"/>
          <w:lang w:val="zh-CN"/>
        </w:rPr>
        <w:t>”、“</w:t>
      </w:r>
      <w:r>
        <w:rPr>
          <w:rFonts w:hint="eastAsia" w:ascii="宋体" w:hAnsi="宋体" w:eastAsia="宋体" w:cs="Times New Roman"/>
          <w:sz w:val="24"/>
          <w:szCs w:val="24"/>
          <w:lang w:val="zh-CN" w:eastAsia="zh-CN"/>
        </w:rPr>
        <w:t>第三部分</w:t>
      </w:r>
      <w:r>
        <w:rPr>
          <w:rFonts w:hint="eastAsia" w:ascii="宋体" w:hAnsi="宋体" w:eastAsia="宋体" w:cs="Times New Roman"/>
          <w:sz w:val="24"/>
          <w:szCs w:val="24"/>
          <w:lang w:val="zh-CN"/>
        </w:rPr>
        <w:t xml:space="preserve"> </w:t>
      </w:r>
      <w:r>
        <w:rPr>
          <w:rFonts w:hint="eastAsia" w:ascii="宋体" w:hAnsi="宋体" w:eastAsia="宋体" w:cs="Times New Roman"/>
          <w:sz w:val="24"/>
          <w:szCs w:val="24"/>
          <w:lang w:val="zh-CN" w:eastAsia="zh-CN"/>
        </w:rPr>
        <w:t>技术、服务文件</w:t>
      </w:r>
      <w:r>
        <w:rPr>
          <w:rFonts w:hint="eastAsia" w:ascii="宋体" w:hAnsi="宋体" w:eastAsia="宋体" w:cs="Times New Roman"/>
          <w:sz w:val="24"/>
          <w:szCs w:val="24"/>
          <w:lang w:val="zh-CN"/>
        </w:rPr>
        <w:t>”中</w:t>
      </w:r>
      <w:r>
        <w:rPr>
          <w:rFonts w:hint="eastAsia" w:ascii="宋体" w:hAnsi="宋体" w:eastAsia="宋体" w:cs="Times New Roman"/>
          <w:b/>
          <w:sz w:val="24"/>
          <w:szCs w:val="24"/>
          <w:lang w:val="zh-CN"/>
        </w:rPr>
        <w:t>，</w:t>
      </w:r>
      <w:r>
        <w:rPr>
          <w:rFonts w:hint="eastAsia" w:ascii="宋体" w:hAnsi="宋体" w:eastAsia="宋体" w:cs="Times New Roman"/>
          <w:sz w:val="24"/>
          <w:szCs w:val="24"/>
          <w:lang w:val="zh-CN"/>
        </w:rPr>
        <w:t>否则，</w:t>
      </w:r>
      <w:r>
        <w:rPr>
          <w:rFonts w:hint="eastAsia" w:ascii="宋体" w:hAnsi="宋体" w:eastAsia="宋体" w:cs="Times New Roman"/>
          <w:b/>
          <w:sz w:val="24"/>
          <w:szCs w:val="24"/>
          <w:lang w:val="zh-CN"/>
        </w:rPr>
        <w:t>将会导致投标无效。</w:t>
      </w:r>
    </w:p>
    <w:p>
      <w:pPr>
        <w:spacing w:line="360" w:lineRule="auto"/>
        <w:ind w:firstLine="471" w:firstLineChars="196"/>
        <w:rPr>
          <w:rFonts w:ascii="宋体" w:hAnsi="宋体" w:eastAsia="宋体" w:cs="Times New Roman"/>
          <w:bCs/>
          <w:sz w:val="24"/>
          <w:szCs w:val="20"/>
          <w:lang w:val="zh-CN"/>
        </w:rPr>
      </w:pPr>
      <w:r>
        <w:rPr>
          <w:rFonts w:ascii="Helvetica" w:hAnsi="Helvetica" w:eastAsia="宋体" w:cs="Helvetica"/>
          <w:kern w:val="0"/>
          <w:sz w:val="24"/>
          <w:szCs w:val="24"/>
          <w:lang w:val="zh-CN" w:eastAsia="zh-CN"/>
        </w:rPr>
        <w:t>评标委员会应当对符合资格的投标人的投标文件进行符合性审查，以确定其是否满足招标文件的实质性要求。</w:t>
      </w:r>
      <w:r>
        <w:rPr>
          <w:rFonts w:hint="eastAsia" w:ascii="宋体" w:hAnsi="宋体" w:eastAsia="宋体" w:cs="Times New Roman"/>
          <w:bCs/>
          <w:sz w:val="24"/>
          <w:szCs w:val="20"/>
          <w:lang w:val="zh-CN" w:eastAsia="zh-CN"/>
        </w:rPr>
        <w:t>符合性</w:t>
      </w:r>
      <w:r>
        <w:rPr>
          <w:rFonts w:hint="eastAsia" w:ascii="宋体" w:hAnsi="宋体" w:eastAsia="宋体" w:cs="Times New Roman"/>
          <w:bCs/>
          <w:sz w:val="24"/>
          <w:szCs w:val="20"/>
          <w:lang w:val="zh-CN"/>
        </w:rPr>
        <w:t>审查</w:t>
      </w:r>
      <w:r>
        <w:rPr>
          <w:rFonts w:hint="eastAsia" w:ascii="宋体" w:hAnsi="宋体" w:eastAsia="宋体" w:cs="Times New Roman"/>
          <w:bCs/>
          <w:sz w:val="24"/>
          <w:szCs w:val="20"/>
          <w:lang w:val="zh-CN" w:eastAsia="zh-CN"/>
        </w:rPr>
        <w:t>出现下列情形之一的投标</w:t>
      </w:r>
      <w:r>
        <w:rPr>
          <w:rFonts w:hint="eastAsia" w:ascii="宋体" w:hAnsi="宋体" w:eastAsia="宋体" w:cs="Times New Roman"/>
          <w:bCs/>
          <w:sz w:val="24"/>
          <w:szCs w:val="20"/>
          <w:lang w:val="zh-CN"/>
        </w:rPr>
        <w:t>按照</w:t>
      </w:r>
      <w:r>
        <w:rPr>
          <w:rFonts w:hint="eastAsia" w:ascii="宋体" w:hAnsi="宋体" w:eastAsia="宋体" w:cs="Times New Roman"/>
          <w:b/>
          <w:bCs/>
          <w:sz w:val="24"/>
          <w:szCs w:val="20"/>
          <w:lang w:val="zh-CN" w:eastAsia="zh-CN"/>
        </w:rPr>
        <w:t>无效投标</w:t>
      </w:r>
      <w:r>
        <w:rPr>
          <w:rFonts w:hint="eastAsia" w:ascii="宋体" w:hAnsi="宋体" w:eastAsia="宋体" w:cs="Times New Roman"/>
          <w:b/>
          <w:bCs/>
          <w:sz w:val="24"/>
          <w:szCs w:val="20"/>
          <w:lang w:val="zh-CN"/>
        </w:rPr>
        <w:t>处理</w:t>
      </w:r>
      <w:r>
        <w:rPr>
          <w:rFonts w:hint="eastAsia" w:ascii="宋体" w:hAnsi="宋体" w:eastAsia="宋体" w:cs="Times New Roman"/>
          <w:bCs/>
          <w:sz w:val="24"/>
          <w:szCs w:val="20"/>
          <w:lang w:val="zh-CN" w:eastAsia="zh-CN"/>
        </w:rPr>
        <w:t>：</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b/>
                <w:bCs/>
                <w:sz w:val="24"/>
                <w:szCs w:val="20"/>
                <w:lang w:val="zh-CN"/>
              </w:rPr>
            </w:pPr>
            <w:r>
              <w:rPr>
                <w:rFonts w:hint="eastAsia" w:ascii="宋体" w:hAnsi="宋体" w:eastAsia="宋体" w:cs="Times New Roman"/>
                <w:b/>
                <w:bCs/>
                <w:sz w:val="24"/>
                <w:szCs w:val="20"/>
                <w:lang w:val="zh-CN"/>
              </w:rPr>
              <w:t>序号</w:t>
            </w:r>
          </w:p>
        </w:tc>
        <w:tc>
          <w:tcPr>
            <w:tcW w:w="8781" w:type="dxa"/>
          </w:tcPr>
          <w:p>
            <w:pPr>
              <w:spacing w:line="360" w:lineRule="auto"/>
              <w:jc w:val="center"/>
              <w:rPr>
                <w:rFonts w:ascii="宋体" w:hAnsi="宋体" w:eastAsia="宋体" w:cs="Times New Roman"/>
                <w:b/>
                <w:bCs/>
                <w:sz w:val="24"/>
                <w:szCs w:val="20"/>
                <w:lang w:val="zh-CN"/>
              </w:rPr>
            </w:pPr>
            <w:r>
              <w:rPr>
                <w:rFonts w:hint="eastAsia" w:ascii="宋体" w:hAnsi="宋体" w:eastAsia="宋体" w:cs="Times New Roman"/>
                <w:b/>
                <w:bCs/>
                <w:sz w:val="24"/>
                <w:szCs w:val="20"/>
                <w:lang w:val="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投标总报价超过项目（分包）预算金额或最高限价的；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《投标书》、《法定代表人授权书》、《开标一览表（含明细）》未提供或不符合招标文件要求的；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工期（服务期限）、质保期不符合招标文件要求的；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出现两个或两个以上不同报价的；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出现两个或两个以上投标方案的（招标文件中要求提供备选方案的除外）；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投标报价存在缺项、漏项的；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无法定代表人签字（签章）或签字人无法定代表人有效授权的；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未按要求提供加盖公章及签字（签章）的；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cs="Times New Roman" w:asciiTheme="minorEastAsia" w:hAnsiTheme="minorEastAsia"/>
                <w:sz w:val="24"/>
                <w:szCs w:val="24"/>
                <w:lang w:val="zh-CN"/>
              </w:rPr>
              <w:t>符合招标文件第二章“投标人须知”中39条中规定情形，以分公司形式参与投标的，法定代表人授权书未由总公司法定代表人签字（签章）并加盖公章的；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宋体" w:hAnsi="宋体" w:eastAsia="宋体" w:cs="宋体"/>
                <w:kern w:val="0"/>
                <w:sz w:val="24"/>
                <w:szCs w:val="24"/>
              </w:rPr>
              <w:t>依据财库[2019]9号文的规定，</w:t>
            </w:r>
            <w:r>
              <w:rPr>
                <w:rFonts w:hint="eastAsia" w:ascii="Times New Roman" w:hAnsi="宋体" w:eastAsia="宋体" w:cs="Times New Roman"/>
                <w:sz w:val="24"/>
                <w:szCs w:val="24"/>
                <w:lang w:val="zh-CN"/>
              </w:rPr>
              <w:t>招标文件采购清单中注明“节能产品”的货物，</w:t>
            </w:r>
            <w:r>
              <w:rPr>
                <w:rFonts w:hint="eastAsia" w:ascii="宋体" w:hAnsi="宋体" w:eastAsia="宋体" w:cs="宋体"/>
                <w:kern w:val="0"/>
                <w:sz w:val="24"/>
                <w:szCs w:val="24"/>
              </w:rPr>
              <w:t>未提供国家确定的认证机构出具的节能产品认证证书的；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所投货物是通过中国海关报关验放进入中国境内且产自关境外的（招标文件中注明已办理进口产品审核的除外）；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未提供所投货物（工程或服务）的具体参数值或功能表述，或原文复制招标文件的技术规格相关部分内容作为其投标文件的一部分的；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不满足招标文件第三章“项目技术、服务和商务要求”中“★”号条款要求的；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ascii="Times New Roman" w:hAnsi="宋体" w:eastAsia="宋体" w:cs="Times New Roman"/>
                <w:sz w:val="24"/>
                <w:szCs w:val="24"/>
                <w:lang w:val="zh-CN"/>
              </w:rPr>
              <w:t>含有采购人不能接受的附加条件的</w:t>
            </w:r>
            <w:r>
              <w:rPr>
                <w:rFonts w:hint="eastAsia" w:ascii="Times New Roman" w:hAnsi="宋体" w:eastAsia="宋体" w:cs="Times New Roman"/>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未按要求提供《符合性审查对照表》、《商务要求响应、偏离说明表》、《商务要求“★”号条款响应、偏离说明表》、《商务评议对照表》和《技术、服务要求响应、偏离说明表》、《技术、服务要求“★”号条款响应、偏离说明表》、《技术、服务评议对照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hint="eastAsia" w:ascii="Times New Roman" w:hAnsi="宋体" w:eastAsia="宋体" w:cs="Times New Roman"/>
                <w:sz w:val="24"/>
                <w:szCs w:val="24"/>
                <w:lang w:val="zh-CN"/>
              </w:rPr>
              <w:t>不同投标人使用同一电脑（机器特征值一致：如MAC地址等）或使用同一电子密钥，编制或上传电子投标文件；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94"/>
              <w:numPr>
                <w:ilvl w:val="0"/>
                <w:numId w:val="42"/>
              </w:numPr>
              <w:spacing w:line="360" w:lineRule="auto"/>
              <w:ind w:firstLineChars="0"/>
              <w:jc w:val="center"/>
              <w:rPr>
                <w:rFonts w:ascii="宋体" w:hAnsi="宋体" w:eastAsia="宋体" w:cs="Times New Roman"/>
                <w:bCs/>
                <w:sz w:val="24"/>
                <w:szCs w:val="20"/>
                <w:lang w:val="zh-CN"/>
              </w:rPr>
            </w:pPr>
          </w:p>
        </w:tc>
        <w:tc>
          <w:tcPr>
            <w:tcW w:w="8781" w:type="dxa"/>
          </w:tcPr>
          <w:p>
            <w:pPr>
              <w:spacing w:line="360" w:lineRule="auto"/>
              <w:rPr>
                <w:rFonts w:ascii="宋体" w:hAnsi="宋体" w:eastAsia="宋体" w:cs="Times New Roman"/>
                <w:bCs/>
                <w:sz w:val="24"/>
                <w:szCs w:val="24"/>
                <w:lang w:val="zh-CN"/>
              </w:rPr>
            </w:pPr>
            <w:r>
              <w:rPr>
                <w:rFonts w:ascii="Times New Roman" w:hAnsi="宋体" w:eastAsia="宋体" w:cs="Times New Roman"/>
                <w:sz w:val="24"/>
                <w:szCs w:val="24"/>
                <w:lang w:val="zh-CN"/>
              </w:rPr>
              <w:t>法律、法规</w:t>
            </w:r>
            <w:r>
              <w:rPr>
                <w:rFonts w:hint="eastAsia" w:ascii="Times New Roman" w:hAnsi="宋体" w:eastAsia="宋体" w:cs="Times New Roman"/>
                <w:sz w:val="24"/>
                <w:szCs w:val="24"/>
                <w:lang w:val="zh-CN"/>
              </w:rPr>
              <w:t>和招标文件</w:t>
            </w:r>
            <w:r>
              <w:rPr>
                <w:rFonts w:ascii="Times New Roman" w:hAnsi="宋体" w:eastAsia="宋体" w:cs="Times New Roman"/>
                <w:sz w:val="24"/>
                <w:szCs w:val="24"/>
                <w:lang w:val="zh-CN"/>
              </w:rPr>
              <w:t>规定的其他</w:t>
            </w:r>
            <w:r>
              <w:rPr>
                <w:rFonts w:hint="eastAsia" w:ascii="Times New Roman" w:hAnsi="宋体" w:eastAsia="宋体" w:cs="Times New Roman"/>
                <w:sz w:val="24"/>
                <w:szCs w:val="24"/>
                <w:lang w:val="zh-CN"/>
              </w:rPr>
              <w:t>无效投标</w:t>
            </w:r>
            <w:r>
              <w:rPr>
                <w:rFonts w:ascii="Times New Roman" w:hAnsi="宋体" w:eastAsia="宋体" w:cs="Times New Roman"/>
                <w:sz w:val="24"/>
                <w:szCs w:val="24"/>
                <w:lang w:val="zh-CN"/>
              </w:rPr>
              <w:t>情形。</w:t>
            </w:r>
          </w:p>
        </w:tc>
      </w:tr>
    </w:tbl>
    <w:p>
      <w:pPr>
        <w:pStyle w:val="5"/>
        <w:tabs>
          <w:tab w:val="left" w:pos="432"/>
          <w:tab w:val="left" w:pos="1260"/>
        </w:tabs>
        <w:spacing w:line="480" w:lineRule="exact"/>
        <w:ind w:left="420"/>
        <w:rPr>
          <w:rFonts w:ascii="宋体" w:hAnsi="宋体" w:cs="宋体"/>
          <w:color w:val="auto"/>
        </w:rPr>
      </w:pPr>
      <w:r>
        <w:rPr>
          <w:rFonts w:hint="eastAsia" w:ascii="宋体" w:hAnsi="宋体" w:cs="宋体"/>
          <w:color w:val="auto"/>
        </w:rPr>
        <w:t>2、澄清有关问题</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2.1评标期间，对于投标文件中含义不明确、同类问题表述不一致或者有明显文字和计算错误的内容，评标委员会应当以书面形式要求投标人作出必要的澄清、说明或者补正。</w:t>
      </w:r>
    </w:p>
    <w:p>
      <w:pPr>
        <w:tabs>
          <w:tab w:val="left" w:pos="616"/>
        </w:tabs>
        <w:spacing w:line="480" w:lineRule="exact"/>
        <w:ind w:left="483" w:hanging="482" w:hangingChars="200"/>
        <w:rPr>
          <w:rFonts w:ascii="宋体" w:hAnsi="宋体" w:cs="宋体"/>
          <w:bCs/>
          <w:strike/>
          <w:color w:val="auto"/>
          <w:sz w:val="24"/>
          <w:szCs w:val="20"/>
        </w:rPr>
      </w:pPr>
      <w:r>
        <w:rPr>
          <w:rFonts w:hint="eastAsia" w:ascii="宋体" w:hAnsi="宋体" w:cs="宋体"/>
          <w:bCs/>
          <w:color w:val="auto"/>
          <w:sz w:val="24"/>
          <w:szCs w:val="20"/>
        </w:rPr>
        <w:t>2.2投标人应按照评标委员会要求的澄清内容在规定时间内做出澄清。</w:t>
      </w:r>
      <w:r>
        <w:rPr>
          <w:rFonts w:hint="eastAsia" w:ascii="宋体" w:hAnsi="宋体" w:cs="宋体"/>
          <w:color w:val="auto"/>
          <w:sz w:val="24"/>
          <w:szCs w:val="20"/>
        </w:rPr>
        <w:t>投标文件报价出现前后不一致的，按照本节第3</w:t>
      </w:r>
      <w:r>
        <w:rPr>
          <w:rFonts w:hint="eastAsia" w:ascii="宋体" w:hAnsi="宋体" w:cs="宋体"/>
          <w:bCs/>
          <w:color w:val="auto"/>
          <w:sz w:val="24"/>
          <w:szCs w:val="20"/>
        </w:rPr>
        <w:t>条规定进行修正，</w:t>
      </w:r>
      <w:r>
        <w:rPr>
          <w:rFonts w:hint="eastAsia" w:ascii="宋体" w:hAnsi="宋体" w:cs="宋体"/>
          <w:color w:val="auto"/>
          <w:kern w:val="0"/>
          <w:sz w:val="24"/>
          <w:szCs w:val="24"/>
        </w:rPr>
        <w:t>投标人的澄清、说明或者补正不得超出投标文件的范围或者改变投标文件的实质性内容。</w:t>
      </w:r>
    </w:p>
    <w:p>
      <w:pPr>
        <w:tabs>
          <w:tab w:val="left" w:pos="616"/>
        </w:tabs>
        <w:spacing w:line="480" w:lineRule="exact"/>
        <w:ind w:left="483" w:hanging="482" w:hangingChars="200"/>
        <w:rPr>
          <w:rFonts w:ascii="宋体" w:hAnsi="宋体" w:cs="宋体"/>
          <w:bCs/>
          <w:color w:val="auto"/>
          <w:sz w:val="24"/>
          <w:szCs w:val="20"/>
        </w:rPr>
      </w:pPr>
      <w:r>
        <w:rPr>
          <w:rFonts w:hint="eastAsia" w:ascii="宋体" w:hAnsi="宋体" w:cs="宋体"/>
          <w:bCs/>
          <w:color w:val="auto"/>
          <w:sz w:val="24"/>
          <w:szCs w:val="20"/>
        </w:rPr>
        <w:t>2.3投标文件报价出现前后不一致的，按照下列规定修正：</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2.3.1投标文件中开标一览表内容与投标文件中相应内容不一致的，以开标一览表为准。</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2.3.2大写金额和小写金额不一致的，以大写金额为准。</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2.3.3单价金额小数点或者百分比有明显错位的，以开标一览表的总价为准，并修改单价。</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2.3.4总价金额与按单价汇总金额不一致的，以单价金额计算结果为准。</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2.3.5同时出现两种以上不一致的，按照前款规定的顺序修正。</w:t>
      </w:r>
    </w:p>
    <w:p>
      <w:pPr>
        <w:adjustRightInd w:val="0"/>
        <w:spacing w:line="480" w:lineRule="exact"/>
        <w:ind w:left="483" w:hanging="482" w:hangingChars="200"/>
        <w:rPr>
          <w:rFonts w:ascii="宋体" w:hAnsi="宋体" w:cs="宋体"/>
          <w:color w:val="auto"/>
          <w:sz w:val="24"/>
          <w:szCs w:val="24"/>
        </w:rPr>
      </w:pPr>
      <w:r>
        <w:rPr>
          <w:rFonts w:hint="eastAsia" w:ascii="宋体" w:hAnsi="宋体" w:cs="宋体"/>
          <w:color w:val="auto"/>
          <w:sz w:val="24"/>
          <w:szCs w:val="24"/>
        </w:rPr>
        <w:t>2.3.6修正后的报价按照本节第4条规定经投标人确认后产生约束力，投标人不确认的，按照</w:t>
      </w:r>
      <w:r>
        <w:rPr>
          <w:rFonts w:hint="eastAsia" w:ascii="宋体" w:hAnsi="宋体" w:cs="宋体"/>
          <w:b/>
          <w:color w:val="auto"/>
          <w:sz w:val="24"/>
          <w:szCs w:val="24"/>
        </w:rPr>
        <w:t>无效投标处理</w:t>
      </w:r>
      <w:r>
        <w:rPr>
          <w:rFonts w:hint="eastAsia" w:ascii="宋体" w:hAnsi="宋体" w:cs="宋体"/>
          <w:color w:val="auto"/>
          <w:sz w:val="24"/>
          <w:szCs w:val="24"/>
        </w:rPr>
        <w:t>。</w:t>
      </w:r>
    </w:p>
    <w:p>
      <w:pPr>
        <w:tabs>
          <w:tab w:val="left" w:pos="616"/>
        </w:tabs>
        <w:spacing w:line="480" w:lineRule="exact"/>
        <w:ind w:left="483" w:hanging="482" w:hangingChars="200"/>
        <w:rPr>
          <w:rFonts w:ascii="宋体" w:hAnsi="宋体"/>
          <w:color w:val="auto"/>
          <w:sz w:val="24"/>
          <w:szCs w:val="20"/>
        </w:rPr>
      </w:pPr>
      <w:r>
        <w:rPr>
          <w:rFonts w:hint="eastAsia" w:ascii="宋体" w:hAnsi="宋体" w:cs="宋体"/>
          <w:color w:val="auto"/>
          <w:sz w:val="24"/>
          <w:szCs w:val="20"/>
        </w:rPr>
        <w:t>2.3.7投标人的</w:t>
      </w:r>
      <w:r>
        <w:rPr>
          <w:rFonts w:hint="eastAsia" w:ascii="宋体" w:hAnsi="宋体" w:cs="宋体"/>
          <w:color w:val="auto"/>
          <w:kern w:val="0"/>
          <w:sz w:val="24"/>
          <w:szCs w:val="24"/>
        </w:rPr>
        <w:t>澄清、说明或者补正</w:t>
      </w:r>
      <w:r>
        <w:rPr>
          <w:rFonts w:hint="eastAsia" w:ascii="宋体" w:hAnsi="宋体" w:cs="宋体"/>
          <w:color w:val="auto"/>
          <w:sz w:val="24"/>
          <w:szCs w:val="20"/>
        </w:rPr>
        <w:t>是其投标文件的有效组成部分。</w:t>
      </w:r>
      <w:r>
        <w:rPr>
          <w:rFonts w:hint="eastAsia" w:ascii="宋体" w:hAnsi="宋体" w:cs="宋体"/>
          <w:color w:val="auto"/>
          <w:kern w:val="0"/>
          <w:sz w:val="24"/>
          <w:szCs w:val="24"/>
        </w:rPr>
        <w:t>投标人的澄清、说明或者补正应当采用书面形式，并加盖公章，或者由法定代表人或其授权的代表签字。</w:t>
      </w:r>
    </w:p>
    <w:p>
      <w:pPr>
        <w:pStyle w:val="5"/>
        <w:tabs>
          <w:tab w:val="left" w:pos="432"/>
          <w:tab w:val="left" w:pos="1260"/>
        </w:tabs>
        <w:spacing w:line="480" w:lineRule="exact"/>
        <w:ind w:left="420"/>
        <w:rPr>
          <w:rFonts w:ascii="宋体" w:hAnsi="宋体" w:cs="宋体"/>
          <w:color w:val="auto"/>
        </w:rPr>
      </w:pPr>
      <w:r>
        <w:rPr>
          <w:rFonts w:hint="eastAsia" w:ascii="宋体" w:hAnsi="宋体" w:cs="宋体"/>
          <w:color w:val="auto"/>
        </w:rPr>
        <w:t>3、综合比较与评价</w:t>
      </w:r>
    </w:p>
    <w:p>
      <w:pPr>
        <w:spacing w:line="480" w:lineRule="exact"/>
        <w:ind w:firstLine="482" w:firstLineChars="200"/>
        <w:rPr>
          <w:rFonts w:ascii="宋体" w:hAnsi="宋体"/>
          <w:bCs/>
          <w:color w:val="auto"/>
          <w:sz w:val="24"/>
          <w:szCs w:val="20"/>
        </w:rPr>
      </w:pPr>
      <w:r>
        <w:rPr>
          <w:rFonts w:ascii="宋体" w:hAnsi="宋体"/>
          <w:bCs/>
          <w:color w:val="auto"/>
          <w:sz w:val="24"/>
          <w:szCs w:val="20"/>
        </w:rPr>
        <w:t>评标委员会应当按照</w:t>
      </w:r>
      <w:r>
        <w:rPr>
          <w:rFonts w:hint="eastAsia" w:ascii="宋体" w:hAnsi="宋体"/>
          <w:bCs/>
          <w:color w:val="auto"/>
          <w:sz w:val="24"/>
          <w:szCs w:val="20"/>
        </w:rPr>
        <w:t>本章</w:t>
      </w:r>
      <w:r>
        <w:rPr>
          <w:rFonts w:ascii="宋体" w:hAnsi="宋体"/>
          <w:bCs/>
          <w:color w:val="auto"/>
          <w:sz w:val="24"/>
          <w:szCs w:val="20"/>
        </w:rPr>
        <w:t>中规定的</w:t>
      </w:r>
      <w:r>
        <w:rPr>
          <w:rFonts w:hint="eastAsia" w:ascii="宋体" w:hAnsi="宋体"/>
          <w:bCs/>
          <w:color w:val="auto"/>
          <w:sz w:val="24"/>
          <w:szCs w:val="20"/>
        </w:rPr>
        <w:t>评标方法和标准</w:t>
      </w:r>
      <w:r>
        <w:rPr>
          <w:rFonts w:ascii="宋体" w:hAnsi="宋体"/>
          <w:bCs/>
          <w:color w:val="auto"/>
          <w:sz w:val="24"/>
          <w:szCs w:val="20"/>
        </w:rPr>
        <w:t>，对符合性审查合格的投标文件进行商务和技术</w:t>
      </w:r>
      <w:r>
        <w:rPr>
          <w:rFonts w:hint="eastAsia" w:ascii="宋体" w:hAnsi="宋体"/>
          <w:bCs/>
          <w:color w:val="auto"/>
          <w:sz w:val="24"/>
          <w:szCs w:val="20"/>
        </w:rPr>
        <w:t>、服务</w:t>
      </w:r>
      <w:r>
        <w:rPr>
          <w:rFonts w:ascii="宋体" w:hAnsi="宋体"/>
          <w:bCs/>
          <w:color w:val="auto"/>
          <w:sz w:val="24"/>
          <w:szCs w:val="20"/>
        </w:rPr>
        <w:t>评估，综合比较与评价。</w:t>
      </w:r>
    </w:p>
    <w:p>
      <w:pPr>
        <w:tabs>
          <w:tab w:val="left" w:pos="616"/>
        </w:tabs>
        <w:spacing w:line="480" w:lineRule="exact"/>
        <w:rPr>
          <w:rFonts w:ascii="宋体" w:hAnsi="宋体"/>
          <w:b/>
          <w:bCs/>
          <w:color w:val="auto"/>
          <w:sz w:val="24"/>
          <w:szCs w:val="20"/>
        </w:rPr>
      </w:pPr>
      <w:r>
        <w:rPr>
          <w:rFonts w:hint="eastAsia" w:ascii="宋体" w:hAnsi="宋体"/>
          <w:b/>
          <w:bCs/>
          <w:color w:val="auto"/>
          <w:sz w:val="24"/>
          <w:szCs w:val="20"/>
        </w:rPr>
        <w:t>3</w:t>
      </w:r>
      <w:r>
        <w:rPr>
          <w:rFonts w:ascii="宋体" w:hAnsi="宋体"/>
          <w:b/>
          <w:bCs/>
          <w:color w:val="auto"/>
          <w:sz w:val="24"/>
          <w:szCs w:val="20"/>
        </w:rPr>
        <w:t>.1</w:t>
      </w:r>
      <w:r>
        <w:rPr>
          <w:rFonts w:hint="eastAsia" w:ascii="宋体" w:hAnsi="宋体"/>
          <w:b/>
          <w:bCs/>
          <w:color w:val="auto"/>
          <w:sz w:val="24"/>
          <w:szCs w:val="20"/>
        </w:rPr>
        <w:t>商务评议</w:t>
      </w:r>
    </w:p>
    <w:p>
      <w:pPr>
        <w:spacing w:line="480" w:lineRule="exact"/>
        <w:ind w:firstLine="482" w:firstLineChars="200"/>
        <w:rPr>
          <w:rFonts w:ascii="宋体" w:hAnsi="宋体"/>
          <w:bCs/>
          <w:color w:val="auto"/>
          <w:sz w:val="24"/>
          <w:szCs w:val="20"/>
        </w:rPr>
      </w:pPr>
      <w:r>
        <w:rPr>
          <w:rFonts w:hint="eastAsia" w:ascii="宋体" w:hAnsi="宋体"/>
          <w:bCs/>
          <w:color w:val="auto"/>
          <w:sz w:val="24"/>
          <w:szCs w:val="20"/>
        </w:rPr>
        <w:t>评标委员会对符合性审查合格的投标文件进行评议，并依据本章“评审因素及评分标准”中的商务评议进行综合比较和评分。</w:t>
      </w:r>
    </w:p>
    <w:p>
      <w:pPr>
        <w:tabs>
          <w:tab w:val="left" w:pos="616"/>
        </w:tabs>
        <w:spacing w:line="480" w:lineRule="exact"/>
        <w:rPr>
          <w:rFonts w:ascii="宋体" w:hAnsi="宋体"/>
          <w:b/>
          <w:bCs/>
          <w:color w:val="auto"/>
          <w:sz w:val="24"/>
          <w:szCs w:val="20"/>
        </w:rPr>
      </w:pPr>
      <w:r>
        <w:rPr>
          <w:rFonts w:hint="eastAsia" w:ascii="宋体" w:hAnsi="宋体"/>
          <w:b/>
          <w:bCs/>
          <w:color w:val="auto"/>
          <w:sz w:val="24"/>
          <w:szCs w:val="20"/>
        </w:rPr>
        <w:t>3</w:t>
      </w:r>
      <w:r>
        <w:rPr>
          <w:rFonts w:ascii="宋体" w:hAnsi="宋体"/>
          <w:b/>
          <w:bCs/>
          <w:color w:val="auto"/>
          <w:sz w:val="24"/>
          <w:szCs w:val="20"/>
        </w:rPr>
        <w:t>.2</w:t>
      </w:r>
      <w:r>
        <w:rPr>
          <w:rFonts w:hint="eastAsia" w:ascii="宋体" w:hAnsi="宋体"/>
          <w:b/>
          <w:bCs/>
          <w:color w:val="auto"/>
          <w:sz w:val="24"/>
          <w:szCs w:val="20"/>
        </w:rPr>
        <w:t>技术、服务评议</w:t>
      </w:r>
    </w:p>
    <w:p>
      <w:pPr>
        <w:spacing w:line="480" w:lineRule="exact"/>
        <w:ind w:firstLine="482" w:firstLineChars="200"/>
        <w:rPr>
          <w:rFonts w:ascii="宋体" w:hAnsi="宋体"/>
          <w:color w:val="auto"/>
          <w:kern w:val="0"/>
          <w:sz w:val="24"/>
          <w:szCs w:val="20"/>
        </w:rPr>
      </w:pPr>
      <w:r>
        <w:rPr>
          <w:rFonts w:hint="eastAsia" w:ascii="宋体" w:hAnsi="宋体"/>
          <w:bCs/>
          <w:color w:val="auto"/>
          <w:sz w:val="24"/>
          <w:szCs w:val="20"/>
        </w:rPr>
        <w:t>评标委员会对符合性审查合格的投标文件进行评议，并依据本章“评审因素及评分标准”中的技术、服务评议进行综合比较和评分。</w:t>
      </w:r>
    </w:p>
    <w:p>
      <w:pPr>
        <w:tabs>
          <w:tab w:val="left" w:pos="616"/>
        </w:tabs>
        <w:spacing w:line="480" w:lineRule="exact"/>
        <w:rPr>
          <w:rFonts w:ascii="宋体" w:hAnsi="宋体"/>
          <w:b/>
          <w:bCs/>
          <w:color w:val="auto"/>
          <w:sz w:val="24"/>
          <w:szCs w:val="20"/>
        </w:rPr>
      </w:pPr>
      <w:r>
        <w:rPr>
          <w:rFonts w:hint="eastAsia" w:ascii="宋体" w:hAnsi="宋体"/>
          <w:b/>
          <w:bCs/>
          <w:color w:val="auto"/>
          <w:sz w:val="24"/>
          <w:szCs w:val="20"/>
        </w:rPr>
        <w:t>3</w:t>
      </w:r>
      <w:r>
        <w:rPr>
          <w:rFonts w:ascii="宋体" w:hAnsi="宋体"/>
          <w:b/>
          <w:bCs/>
          <w:color w:val="auto"/>
          <w:sz w:val="24"/>
          <w:szCs w:val="20"/>
        </w:rPr>
        <w:t>.3</w:t>
      </w:r>
      <w:r>
        <w:rPr>
          <w:rFonts w:hint="eastAsia" w:ascii="宋体" w:hAnsi="宋体"/>
          <w:b/>
          <w:bCs/>
          <w:color w:val="auto"/>
          <w:sz w:val="24"/>
          <w:szCs w:val="20"/>
        </w:rPr>
        <w:t>价格评议</w:t>
      </w:r>
    </w:p>
    <w:p>
      <w:pPr>
        <w:spacing w:line="480" w:lineRule="exact"/>
        <w:ind w:firstLine="482" w:firstLineChars="200"/>
        <w:rPr>
          <w:rFonts w:ascii="宋体" w:hAnsi="宋体"/>
          <w:bCs/>
          <w:color w:val="auto"/>
          <w:sz w:val="24"/>
          <w:szCs w:val="24"/>
        </w:rPr>
      </w:pPr>
      <w:r>
        <w:rPr>
          <w:rFonts w:hint="eastAsia" w:ascii="宋体" w:hAnsi="宋体"/>
          <w:bCs/>
          <w:color w:val="auto"/>
          <w:sz w:val="24"/>
          <w:szCs w:val="24"/>
        </w:rPr>
        <w:t>评标委员会对符合性审查合格的投标文件进行价格评议（</w:t>
      </w:r>
      <w:r>
        <w:rPr>
          <w:rFonts w:hint="eastAsia" w:ascii="宋体" w:hAnsi="宋体"/>
          <w:bCs/>
          <w:color w:val="auto"/>
          <w:sz w:val="24"/>
          <w:szCs w:val="21"/>
        </w:rPr>
        <w:t>执行国家统一定价标准和采用固定价格采购的项目，其价格不列为评审因素</w:t>
      </w:r>
      <w:r>
        <w:rPr>
          <w:rFonts w:hint="eastAsia" w:ascii="宋体" w:hAnsi="宋体"/>
          <w:bCs/>
          <w:color w:val="auto"/>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pPr>
        <w:adjustRightInd w:val="0"/>
        <w:spacing w:line="480" w:lineRule="exact"/>
        <w:rPr>
          <w:rFonts w:ascii="宋体" w:hAnsi="宋体"/>
          <w:b/>
          <w:color w:val="auto"/>
          <w:sz w:val="24"/>
          <w:szCs w:val="24"/>
        </w:rPr>
      </w:pPr>
      <w:r>
        <w:rPr>
          <w:rFonts w:hint="eastAsia" w:ascii="宋体" w:hAnsi="宋体"/>
          <w:b/>
          <w:color w:val="auto"/>
          <w:sz w:val="24"/>
          <w:szCs w:val="24"/>
        </w:rPr>
        <w:t>3</w:t>
      </w:r>
      <w:r>
        <w:rPr>
          <w:rFonts w:ascii="宋体" w:hAnsi="宋体"/>
          <w:b/>
          <w:color w:val="auto"/>
          <w:sz w:val="24"/>
          <w:szCs w:val="24"/>
        </w:rPr>
        <w:t>.3.1</w:t>
      </w:r>
      <w:r>
        <w:rPr>
          <w:rFonts w:hint="eastAsia" w:ascii="宋体" w:hAnsi="宋体"/>
          <w:b/>
          <w:color w:val="auto"/>
          <w:sz w:val="24"/>
          <w:szCs w:val="24"/>
        </w:rPr>
        <w:t>报价合理性说明：</w:t>
      </w:r>
    </w:p>
    <w:p>
      <w:pPr>
        <w:spacing w:line="360" w:lineRule="auto"/>
        <w:ind w:firstLine="482" w:firstLineChars="200"/>
        <w:rPr>
          <w:rFonts w:ascii="宋体" w:hAnsi="宋体"/>
          <w:b/>
          <w:bCs/>
          <w:color w:val="auto"/>
          <w:sz w:val="24"/>
          <w:szCs w:val="24"/>
        </w:rPr>
      </w:pPr>
      <w:r>
        <w:rPr>
          <w:rFonts w:ascii="宋体" w:hAnsi="宋体"/>
          <w:bCs/>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Pr>
          <w:rFonts w:hint="eastAsia" w:ascii="宋体" w:hAnsi="宋体"/>
          <w:bCs/>
          <w:color w:val="auto"/>
          <w:sz w:val="24"/>
          <w:szCs w:val="24"/>
        </w:rPr>
        <w:t>应当将其作为</w:t>
      </w:r>
      <w:r>
        <w:rPr>
          <w:rFonts w:ascii="宋体" w:hAnsi="宋体"/>
          <w:b/>
          <w:bCs/>
          <w:color w:val="auto"/>
          <w:sz w:val="24"/>
          <w:szCs w:val="24"/>
        </w:rPr>
        <w:t>无效投标处理。</w:t>
      </w:r>
    </w:p>
    <w:p>
      <w:pPr>
        <w:spacing w:line="360" w:lineRule="auto"/>
        <w:ind w:firstLine="482" w:firstLineChars="200"/>
        <w:rPr>
          <w:rFonts w:ascii="宋体" w:hAnsi="宋体"/>
          <w:color w:val="auto"/>
          <w:sz w:val="24"/>
          <w:szCs w:val="24"/>
        </w:rPr>
      </w:pPr>
      <w:r>
        <w:rPr>
          <w:rFonts w:hint="eastAsia" w:ascii="宋体" w:hAnsi="宋体"/>
          <w:color w:val="auto"/>
          <w:sz w:val="24"/>
          <w:szCs w:val="24"/>
        </w:rPr>
        <w:t>评标委员会根据投标人澄清和说明并提交的有关证明材料，判断投标人的投标报价是否合理。投标人证明其报价合理性应提供不限于以下证明材料：</w:t>
      </w:r>
    </w:p>
    <w:p>
      <w:pPr>
        <w:spacing w:line="360" w:lineRule="auto"/>
        <w:ind w:firstLine="482" w:firstLineChars="200"/>
        <w:rPr>
          <w:rFonts w:ascii="宋体" w:hAnsi="宋体"/>
          <w:color w:val="auto"/>
          <w:sz w:val="24"/>
          <w:szCs w:val="24"/>
        </w:rPr>
      </w:pPr>
      <w:r>
        <w:rPr>
          <w:rFonts w:hint="eastAsia" w:ascii="宋体" w:hAnsi="宋体"/>
          <w:color w:val="auto"/>
          <w:sz w:val="24"/>
          <w:szCs w:val="24"/>
        </w:rPr>
        <w:t>提供该投标人在近三年中已完成一个同类项目（采购内容和合同金额相似度高）的投标报价、分项报价，考虑价格变化因素后，与本次投标报价情况近似，同时应提供项目合同及验收证明材料，表明该投标人已按投标报价及合同约定圆满完成，并未发生投标人原因而增加的费用。</w:t>
      </w:r>
    </w:p>
    <w:p>
      <w:pPr>
        <w:spacing w:line="360" w:lineRule="auto"/>
        <w:ind w:firstLine="482" w:firstLineChars="200"/>
        <w:rPr>
          <w:rFonts w:ascii="宋体" w:hAnsi="宋体"/>
          <w:color w:val="auto"/>
          <w:sz w:val="24"/>
          <w:szCs w:val="24"/>
        </w:rPr>
      </w:pPr>
      <w:r>
        <w:rPr>
          <w:rFonts w:hint="eastAsia" w:ascii="宋体" w:hAnsi="宋体"/>
          <w:color w:val="auto"/>
          <w:sz w:val="24"/>
          <w:szCs w:val="24"/>
        </w:rPr>
        <w:t>能提供该投标人由于使用经省级及以上行业管理部门确认的新技术、新工艺或先进管理办法，从而降低项目成本的相关材料。</w:t>
      </w:r>
    </w:p>
    <w:p>
      <w:pPr>
        <w:spacing w:line="360" w:lineRule="auto"/>
        <w:ind w:firstLine="482" w:firstLineChars="200"/>
        <w:rPr>
          <w:rFonts w:ascii="宋体" w:hAnsi="宋体"/>
          <w:color w:val="auto"/>
          <w:sz w:val="24"/>
          <w:szCs w:val="24"/>
        </w:rPr>
      </w:pPr>
      <w:r>
        <w:rPr>
          <w:rFonts w:hint="eastAsia" w:ascii="宋体" w:hAnsi="宋体"/>
          <w:color w:val="auto"/>
          <w:sz w:val="24"/>
          <w:szCs w:val="24"/>
        </w:rPr>
        <w:t>能提供货物采购合同、发票等可信的证据，以证明其采购到的材料、设备单价低于规定的。</w:t>
      </w:r>
    </w:p>
    <w:p>
      <w:pPr>
        <w:spacing w:line="360" w:lineRule="auto"/>
        <w:ind w:firstLine="482" w:firstLineChars="200"/>
        <w:rPr>
          <w:rFonts w:ascii="宋体" w:hAnsi="宋体"/>
          <w:color w:val="auto"/>
          <w:sz w:val="24"/>
          <w:szCs w:val="24"/>
        </w:rPr>
      </w:pPr>
      <w:r>
        <w:rPr>
          <w:rFonts w:hint="eastAsia" w:ascii="宋体" w:hAnsi="宋体"/>
          <w:color w:val="auto"/>
          <w:sz w:val="24"/>
          <w:szCs w:val="24"/>
        </w:rPr>
        <w:t>能提供其他有关降低该投标人工程成本的分析报告和证据材料。</w:t>
      </w:r>
    </w:p>
    <w:p>
      <w:pPr>
        <w:spacing w:line="360" w:lineRule="auto"/>
        <w:rPr>
          <w:rFonts w:ascii="宋体" w:hAnsi="宋体"/>
          <w:color w:val="auto"/>
          <w:sz w:val="24"/>
          <w:szCs w:val="24"/>
        </w:rPr>
      </w:pPr>
      <w:r>
        <w:rPr>
          <w:rFonts w:hint="eastAsia" w:ascii="宋体" w:hAnsi="宋体"/>
          <w:color w:val="auto"/>
          <w:sz w:val="24"/>
          <w:szCs w:val="24"/>
        </w:rPr>
        <w:t>评标委员会不接受投标人以自有人工和机械闲置、自有材料等不计成本为由进行投标报价的澄清和说明。</w:t>
      </w:r>
    </w:p>
    <w:p>
      <w:pPr>
        <w:adjustRightInd w:val="0"/>
        <w:spacing w:line="480" w:lineRule="exact"/>
        <w:rPr>
          <w:rFonts w:ascii="宋体" w:hAnsi="宋体"/>
          <w:b/>
          <w:color w:val="auto"/>
          <w:sz w:val="24"/>
          <w:szCs w:val="24"/>
        </w:rPr>
      </w:pPr>
      <w:r>
        <w:rPr>
          <w:rFonts w:hint="eastAsia" w:ascii="宋体" w:hAnsi="宋体"/>
          <w:b/>
          <w:color w:val="auto"/>
          <w:sz w:val="24"/>
          <w:szCs w:val="24"/>
        </w:rPr>
        <w:t>3</w:t>
      </w:r>
      <w:r>
        <w:rPr>
          <w:rFonts w:ascii="宋体" w:hAnsi="宋体"/>
          <w:b/>
          <w:color w:val="auto"/>
          <w:sz w:val="24"/>
          <w:szCs w:val="24"/>
        </w:rPr>
        <w:t>.3.2</w:t>
      </w:r>
      <w:r>
        <w:rPr>
          <w:rFonts w:hint="eastAsia" w:ascii="宋体" w:hAnsi="宋体"/>
          <w:b/>
          <w:color w:val="auto"/>
          <w:sz w:val="24"/>
          <w:szCs w:val="24"/>
        </w:rPr>
        <w:t>小型和微型企业、监狱企业、残疾人福利性单位价格扣除：</w:t>
      </w:r>
    </w:p>
    <w:p>
      <w:pPr>
        <w:spacing w:line="480" w:lineRule="exact"/>
        <w:ind w:left="567"/>
        <w:rPr>
          <w:rFonts w:ascii="宋体" w:hAnsi="宋体"/>
          <w:bCs/>
          <w:color w:val="auto"/>
          <w:sz w:val="24"/>
          <w:szCs w:val="20"/>
        </w:rPr>
      </w:pPr>
      <w:r>
        <w:rPr>
          <w:rFonts w:hint="eastAsia" w:ascii="宋体" w:hAnsi="宋体"/>
          <w:bCs/>
          <w:color w:val="auto"/>
          <w:sz w:val="24"/>
          <w:szCs w:val="20"/>
        </w:rPr>
        <w:t>3</w:t>
      </w:r>
      <w:r>
        <w:rPr>
          <w:rFonts w:ascii="宋体" w:hAnsi="宋体"/>
          <w:bCs/>
          <w:color w:val="auto"/>
          <w:sz w:val="24"/>
          <w:szCs w:val="20"/>
        </w:rPr>
        <w:t>.3.2.1</w:t>
      </w:r>
      <w:r>
        <w:rPr>
          <w:rFonts w:hint="eastAsia" w:ascii="宋体" w:hAnsi="宋体"/>
          <w:bCs/>
          <w:color w:val="auto"/>
          <w:sz w:val="24"/>
          <w:szCs w:val="20"/>
        </w:rPr>
        <w:t>非专门面向中小企业的货物类采购项目，按招标文件中采购清单确定的货物，对小型和微型企业制造的货物价格给予</w:t>
      </w:r>
      <w:r>
        <w:rPr>
          <w:rFonts w:hint="eastAsia" w:ascii="宋体" w:hAnsi="宋体"/>
          <w:bCs/>
          <w:color w:val="auto"/>
          <w:sz w:val="24"/>
          <w:szCs w:val="20"/>
          <w:lang w:val="en-US" w:eastAsia="zh-CN"/>
        </w:rPr>
        <w:t>10</w:t>
      </w:r>
      <w:r>
        <w:rPr>
          <w:rFonts w:hint="eastAsia" w:ascii="宋体" w:hAnsi="宋体"/>
          <w:b/>
          <w:bCs/>
          <w:color w:val="auto"/>
          <w:sz w:val="24"/>
          <w:szCs w:val="20"/>
        </w:rPr>
        <w:t>%</w:t>
      </w:r>
      <w:r>
        <w:rPr>
          <w:rFonts w:hint="eastAsia" w:ascii="宋体" w:hAnsi="宋体"/>
          <w:bCs/>
          <w:color w:val="auto"/>
          <w:sz w:val="24"/>
          <w:szCs w:val="20"/>
        </w:rPr>
        <w:t>的扣除，用扣除后的价格参与评审。</w:t>
      </w:r>
    </w:p>
    <w:p>
      <w:pPr>
        <w:spacing w:line="480" w:lineRule="exact"/>
        <w:ind w:left="481" w:leftChars="228" w:firstLine="120" w:firstLineChars="50"/>
        <w:rPr>
          <w:rFonts w:ascii="宋体" w:hAnsi="宋体"/>
          <w:bCs/>
          <w:color w:val="auto"/>
          <w:sz w:val="24"/>
          <w:szCs w:val="20"/>
        </w:rPr>
      </w:pPr>
      <w:r>
        <w:rPr>
          <w:rFonts w:ascii="宋体" w:hAnsi="宋体"/>
          <w:bCs/>
          <w:color w:val="auto"/>
          <w:sz w:val="24"/>
          <w:szCs w:val="20"/>
        </w:rPr>
        <w:t>3.3.2.2</w:t>
      </w:r>
      <w:r>
        <w:rPr>
          <w:rFonts w:hint="eastAsia" w:ascii="宋体" w:hAnsi="宋体"/>
          <w:bCs/>
          <w:color w:val="auto"/>
          <w:sz w:val="24"/>
          <w:szCs w:val="20"/>
        </w:rPr>
        <w:t>非专门面向中小企业的工程、服务类采购项目，投标人是小型和微型企业的工程类价格给予</w:t>
      </w:r>
      <w:r>
        <w:rPr>
          <w:rFonts w:hint="eastAsia" w:ascii="宋体" w:hAnsi="宋体"/>
          <w:b/>
          <w:bCs/>
          <w:color w:val="auto"/>
          <w:sz w:val="24"/>
          <w:szCs w:val="20"/>
        </w:rPr>
        <w:t>3%</w:t>
      </w:r>
      <w:r>
        <w:rPr>
          <w:rFonts w:hint="eastAsia" w:ascii="宋体" w:hAnsi="宋体"/>
          <w:bCs/>
          <w:color w:val="auto"/>
          <w:sz w:val="24"/>
          <w:szCs w:val="20"/>
        </w:rPr>
        <w:t>的扣除、服务类价格给予</w:t>
      </w:r>
      <w:r>
        <w:rPr>
          <w:rFonts w:hint="eastAsia" w:ascii="宋体" w:hAnsi="宋体"/>
          <w:bCs/>
          <w:color w:val="auto"/>
          <w:sz w:val="24"/>
          <w:szCs w:val="20"/>
          <w:lang w:val="en-US" w:eastAsia="zh-CN"/>
        </w:rPr>
        <w:t>10</w:t>
      </w:r>
      <w:r>
        <w:rPr>
          <w:rFonts w:hint="eastAsia" w:ascii="宋体" w:hAnsi="宋体"/>
          <w:b/>
          <w:bCs/>
          <w:color w:val="auto"/>
          <w:sz w:val="24"/>
          <w:szCs w:val="20"/>
        </w:rPr>
        <w:t>%</w:t>
      </w:r>
      <w:r>
        <w:rPr>
          <w:rFonts w:hint="eastAsia" w:ascii="宋体" w:hAnsi="宋体"/>
          <w:bCs/>
          <w:color w:val="auto"/>
          <w:sz w:val="24"/>
          <w:szCs w:val="20"/>
        </w:rPr>
        <w:t>的扣除，用扣除后的价格参与评审。</w:t>
      </w:r>
    </w:p>
    <w:p>
      <w:pPr>
        <w:spacing w:line="480" w:lineRule="exact"/>
        <w:ind w:left="567"/>
        <w:rPr>
          <w:rFonts w:ascii="宋体" w:hAnsi="宋体"/>
          <w:bCs/>
          <w:color w:val="auto"/>
          <w:sz w:val="24"/>
          <w:szCs w:val="20"/>
        </w:rPr>
      </w:pPr>
      <w:r>
        <w:rPr>
          <w:rFonts w:hint="eastAsia" w:ascii="宋体" w:hAnsi="宋体"/>
          <w:bCs/>
          <w:color w:val="auto"/>
          <w:sz w:val="24"/>
          <w:szCs w:val="20"/>
        </w:rPr>
        <w:t>3</w:t>
      </w:r>
      <w:r>
        <w:rPr>
          <w:rFonts w:ascii="宋体" w:hAnsi="宋体"/>
          <w:bCs/>
          <w:color w:val="auto"/>
          <w:sz w:val="24"/>
          <w:szCs w:val="20"/>
        </w:rPr>
        <w:t>.3.2.3鼓励大中型企业和其他自然人、法人或者其他组织与小型、微型企业组成联合体共同参加非专门面向中小企业的政府采购活动。联合协议中约定，小型、微型企业的协议合同金额占到联合体协议合同总金额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b/>
          <w:bCs/>
          <w:color w:val="auto"/>
          <w:sz w:val="24"/>
          <w:szCs w:val="20"/>
        </w:rPr>
        <w:t>30%</w:t>
      </w:r>
      <w:r>
        <w:rPr>
          <w:rFonts w:ascii="宋体" w:hAnsi="宋体"/>
          <w:bCs/>
          <w:color w:val="auto"/>
          <w:sz w:val="24"/>
          <w:szCs w:val="20"/>
        </w:rPr>
        <w:t>以上的，可给予联合体</w:t>
      </w:r>
      <w:r>
        <w:rPr>
          <w:rFonts w:hint="eastAsia" w:ascii="宋体" w:hAnsi="宋体"/>
          <w:bCs/>
          <w:color w:val="auto"/>
          <w:sz w:val="24"/>
          <w:szCs w:val="20"/>
          <w:lang w:val="en-US" w:eastAsia="zh-CN"/>
        </w:rPr>
        <w:t>6</w:t>
      </w:r>
      <w:r>
        <w:rPr>
          <w:rFonts w:ascii="宋体" w:hAnsi="宋体"/>
          <w:b/>
          <w:bCs/>
          <w:color w:val="auto"/>
          <w:sz w:val="24"/>
          <w:szCs w:val="20"/>
        </w:rPr>
        <w:t>%</w:t>
      </w:r>
      <w:r>
        <w:rPr>
          <w:rFonts w:ascii="宋体" w:hAnsi="宋体"/>
          <w:bCs/>
          <w:color w:val="auto"/>
          <w:sz w:val="24"/>
          <w:szCs w:val="20"/>
        </w:rPr>
        <w:t>的价格扣除</w:t>
      </w:r>
      <w:r>
        <w:rPr>
          <w:rFonts w:hint="eastAsia" w:ascii="宋体" w:hAnsi="宋体"/>
          <w:bCs/>
          <w:color w:val="auto"/>
          <w:sz w:val="24"/>
          <w:szCs w:val="20"/>
        </w:rPr>
        <w:t>，不重复享受政策。</w:t>
      </w:r>
    </w:p>
    <w:p>
      <w:pPr>
        <w:spacing w:line="480" w:lineRule="exact"/>
        <w:ind w:left="567"/>
        <w:rPr>
          <w:rFonts w:ascii="宋体" w:hAnsi="宋体"/>
          <w:bCs/>
          <w:color w:val="auto"/>
          <w:sz w:val="24"/>
          <w:szCs w:val="20"/>
        </w:rPr>
      </w:pPr>
      <w:r>
        <w:rPr>
          <w:rFonts w:hint="eastAsia" w:ascii="宋体" w:hAnsi="宋体"/>
          <w:bCs/>
          <w:color w:val="auto"/>
          <w:sz w:val="24"/>
          <w:szCs w:val="20"/>
        </w:rPr>
        <w:t>3</w:t>
      </w:r>
      <w:r>
        <w:rPr>
          <w:rFonts w:ascii="宋体" w:hAnsi="宋体"/>
          <w:bCs/>
          <w:color w:val="auto"/>
          <w:sz w:val="24"/>
          <w:szCs w:val="20"/>
        </w:rPr>
        <w:t>.3.2.4监狱企业</w:t>
      </w:r>
      <w:r>
        <w:rPr>
          <w:rFonts w:hint="eastAsia" w:ascii="宋体" w:hAnsi="宋体"/>
          <w:bCs/>
          <w:color w:val="auto"/>
          <w:sz w:val="24"/>
          <w:szCs w:val="20"/>
        </w:rPr>
        <w:t>、残疾人福利性单位</w:t>
      </w:r>
      <w:r>
        <w:rPr>
          <w:rFonts w:ascii="宋体" w:hAnsi="宋体"/>
          <w:bCs/>
          <w:color w:val="auto"/>
          <w:sz w:val="24"/>
          <w:szCs w:val="20"/>
        </w:rPr>
        <w:t>视同小型、微型企业，享受预留份额、评审中价格扣除等政府采购促进中小企业发展的政府采购政策</w:t>
      </w:r>
      <w:r>
        <w:rPr>
          <w:rFonts w:hint="eastAsia" w:ascii="宋体" w:hAnsi="宋体"/>
          <w:bCs/>
          <w:color w:val="auto"/>
          <w:sz w:val="24"/>
          <w:szCs w:val="20"/>
        </w:rPr>
        <w:t>，残疾人福利性单位属于小型、微型企业的，不重复享受政策。</w:t>
      </w:r>
    </w:p>
    <w:p>
      <w:pPr>
        <w:spacing w:line="480" w:lineRule="exact"/>
        <w:ind w:left="567"/>
        <w:rPr>
          <w:rFonts w:ascii="宋体" w:hAnsi="宋体"/>
          <w:bCs/>
          <w:color w:val="auto"/>
          <w:sz w:val="24"/>
          <w:szCs w:val="20"/>
        </w:rPr>
      </w:pPr>
      <w:r>
        <w:rPr>
          <w:rFonts w:hint="eastAsia" w:ascii="宋体" w:hAnsi="宋体"/>
          <w:bCs/>
          <w:color w:val="auto"/>
          <w:sz w:val="24"/>
          <w:szCs w:val="20"/>
        </w:rPr>
        <w:t>3</w:t>
      </w:r>
      <w:r>
        <w:rPr>
          <w:rFonts w:ascii="宋体" w:hAnsi="宋体"/>
          <w:bCs/>
          <w:color w:val="auto"/>
          <w:sz w:val="24"/>
          <w:szCs w:val="20"/>
        </w:rPr>
        <w:t>.3.2.5</w:t>
      </w:r>
      <w:r>
        <w:rPr>
          <w:rFonts w:hint="eastAsia" w:ascii="宋体" w:hAnsi="宋体"/>
          <w:bCs/>
          <w:color w:val="auto"/>
          <w:sz w:val="24"/>
          <w:szCs w:val="20"/>
        </w:rPr>
        <w:t>小型和微型企业应出具《声明函》（附件二、三）；监狱企业应提供由省级监狱局、戒毒局（含新疆生产建设兵团）出具的监狱企业的证明文件；残疾人福利性单位提供《声明函》（附件四）。</w:t>
      </w:r>
    </w:p>
    <w:p>
      <w:pPr>
        <w:tabs>
          <w:tab w:val="left" w:pos="616"/>
        </w:tabs>
        <w:spacing w:line="480" w:lineRule="exact"/>
        <w:rPr>
          <w:rFonts w:ascii="宋体" w:hAnsi="宋体"/>
          <w:b/>
          <w:bCs/>
          <w:color w:val="auto"/>
          <w:sz w:val="24"/>
          <w:szCs w:val="20"/>
        </w:rPr>
      </w:pPr>
      <w:r>
        <w:rPr>
          <w:rFonts w:hint="eastAsia" w:ascii="宋体" w:hAnsi="宋体"/>
          <w:b/>
          <w:bCs/>
          <w:color w:val="auto"/>
          <w:sz w:val="24"/>
          <w:szCs w:val="20"/>
        </w:rPr>
        <w:t>3</w:t>
      </w:r>
      <w:r>
        <w:rPr>
          <w:rFonts w:ascii="宋体" w:hAnsi="宋体"/>
          <w:b/>
          <w:bCs/>
          <w:color w:val="auto"/>
          <w:sz w:val="24"/>
          <w:szCs w:val="20"/>
        </w:rPr>
        <w:t>.4</w:t>
      </w:r>
      <w:r>
        <w:rPr>
          <w:rFonts w:hint="eastAsia" w:ascii="宋体" w:hAnsi="宋体"/>
          <w:b/>
          <w:bCs/>
          <w:color w:val="auto"/>
          <w:sz w:val="24"/>
          <w:szCs w:val="20"/>
        </w:rPr>
        <w:t>相同品牌处理原则</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3.4.1提供相同品牌产品且通过资格审查、符合性审查的不同投标人参加同一合同项下投标的，按一家投标人计算，评审后得分最高的同品牌投标人获得中标人推荐资格；评审得分相同的，由采购人确定或者采购人委托评标委员会以投票方式确定一个投标人获得中标人推荐资格，其他同品牌投标人不作为中标候选人。</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3.4.2非单一产品采购项目，采购人应当根据采购项目技术构成、产品价格比重等合理确定一个核心产品（采购清单中作“相同〈或同一〉品牌”实质性要求的产品，视为一个核心产品），并以“核心产品”在招标文件中标注。</w:t>
      </w:r>
    </w:p>
    <w:p>
      <w:pPr>
        <w:tabs>
          <w:tab w:val="left" w:pos="616"/>
        </w:tabs>
        <w:spacing w:line="480" w:lineRule="exact"/>
        <w:rPr>
          <w:rFonts w:ascii="宋体" w:hAnsi="宋体"/>
          <w:b/>
          <w:bCs/>
          <w:color w:val="auto"/>
          <w:sz w:val="24"/>
          <w:szCs w:val="20"/>
        </w:rPr>
      </w:pPr>
      <w:r>
        <w:rPr>
          <w:rFonts w:hint="eastAsia" w:ascii="宋体" w:hAnsi="宋体"/>
          <w:b/>
          <w:bCs/>
          <w:color w:val="auto"/>
          <w:sz w:val="24"/>
          <w:szCs w:val="20"/>
        </w:rPr>
        <w:t>3</w:t>
      </w:r>
      <w:r>
        <w:rPr>
          <w:rFonts w:ascii="宋体" w:hAnsi="宋体"/>
          <w:b/>
          <w:bCs/>
          <w:color w:val="auto"/>
          <w:sz w:val="24"/>
          <w:szCs w:val="20"/>
        </w:rPr>
        <w:t>.5</w:t>
      </w:r>
      <w:r>
        <w:rPr>
          <w:rFonts w:hint="eastAsia" w:ascii="宋体" w:hAnsi="宋体"/>
          <w:b/>
          <w:bCs/>
          <w:color w:val="auto"/>
          <w:sz w:val="24"/>
          <w:szCs w:val="20"/>
        </w:rPr>
        <w:t>计分办法</w:t>
      </w:r>
    </w:p>
    <w:p>
      <w:pPr>
        <w:adjustRightInd w:val="0"/>
        <w:spacing w:line="480" w:lineRule="exact"/>
        <w:rPr>
          <w:rFonts w:ascii="宋体" w:hAnsi="宋体" w:cs="宋体"/>
          <w:color w:val="auto"/>
          <w:kern w:val="0"/>
          <w:sz w:val="24"/>
          <w:szCs w:val="24"/>
        </w:rPr>
      </w:pPr>
      <w:r>
        <w:rPr>
          <w:rFonts w:hint="eastAsia" w:ascii="宋体" w:hAnsi="宋体" w:cs="宋体"/>
          <w:color w:val="auto"/>
          <w:kern w:val="0"/>
          <w:sz w:val="24"/>
          <w:szCs w:val="24"/>
        </w:rPr>
        <w:t>3.5.1集中采购机构对各评委的总分进行复核。各项统计结果均精确到小数点后两位。</w:t>
      </w:r>
    </w:p>
    <w:p>
      <w:pPr>
        <w:adjustRightInd w:val="0"/>
        <w:spacing w:line="480" w:lineRule="exact"/>
        <w:rPr>
          <w:rFonts w:ascii="Helvetica" w:hAnsi="Helvetica" w:cs="Helvetica"/>
          <w:color w:val="auto"/>
          <w:kern w:val="0"/>
          <w:sz w:val="24"/>
          <w:szCs w:val="24"/>
        </w:rPr>
      </w:pPr>
      <w:r>
        <w:rPr>
          <w:rFonts w:hint="eastAsia" w:ascii="宋体" w:hAnsi="宋体" w:cs="宋体"/>
          <w:color w:val="auto"/>
          <w:kern w:val="0"/>
          <w:sz w:val="24"/>
          <w:szCs w:val="24"/>
        </w:rPr>
        <w:t>3.5.2各投标人的最终得分为评委所评定分数的算术平均值。</w:t>
      </w:r>
    </w:p>
    <w:p>
      <w:pPr>
        <w:pStyle w:val="5"/>
        <w:tabs>
          <w:tab w:val="left" w:pos="432"/>
          <w:tab w:val="left" w:pos="1260"/>
        </w:tabs>
        <w:spacing w:line="480" w:lineRule="exact"/>
        <w:ind w:left="420"/>
        <w:rPr>
          <w:color w:val="auto"/>
        </w:rPr>
      </w:pPr>
      <w:r>
        <w:rPr>
          <w:rFonts w:hint="eastAsia" w:ascii="宋体" w:hAnsi="宋体" w:cs="宋体"/>
          <w:color w:val="auto"/>
        </w:rPr>
        <w:t>4、推荐中标候选人名单或确定中标人</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4.1评标委员会按照招标文件确定的评标方法、程序及标准，对投标文件进行评审。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4.2评标委员会依据评标结果，按各投标人的评审后得分由高到低的顺序向采购人推荐得分前三名的进入中标候选人名单，并形成书面的评标报告。</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4.3中标候选人并列的，由采购人确定或者采购人委托评标委员会以投票方式确定中标人。</w:t>
      </w:r>
    </w:p>
    <w:p>
      <w:pPr>
        <w:tabs>
          <w:tab w:val="left" w:pos="616"/>
        </w:tabs>
        <w:spacing w:line="480" w:lineRule="exact"/>
        <w:ind w:left="483" w:hanging="482" w:hangingChars="200"/>
        <w:rPr>
          <w:rFonts w:ascii="宋体" w:hAnsi="宋体" w:cs="宋体"/>
          <w:color w:val="auto"/>
          <w:kern w:val="0"/>
          <w:sz w:val="24"/>
          <w:szCs w:val="24"/>
        </w:rPr>
      </w:pPr>
      <w:r>
        <w:rPr>
          <w:rFonts w:hint="eastAsia" w:ascii="宋体" w:hAnsi="宋体" w:cs="宋体"/>
          <w:color w:val="auto"/>
          <w:kern w:val="0"/>
          <w:sz w:val="24"/>
          <w:szCs w:val="24"/>
        </w:rPr>
        <w:t>4.4评标委员会应当在评标报告上签字，对自己的评审意见承担法律责任。对评标报告有异议的，应当在评标报告上签署不同意见，并说明理由，否则视为同意评标报告。</w:t>
      </w:r>
    </w:p>
    <w:p>
      <w:pPr>
        <w:pStyle w:val="65"/>
        <w:spacing w:line="480" w:lineRule="exact"/>
        <w:rPr>
          <w:b/>
          <w:bCs/>
          <w:color w:val="auto"/>
        </w:rPr>
      </w:pPr>
      <w:bookmarkStart w:id="58" w:name="_Toc494561963"/>
      <w:bookmarkStart w:id="59" w:name="_Toc21663"/>
      <w:bookmarkStart w:id="60" w:name="_Toc343458595"/>
      <w:r>
        <w:rPr>
          <w:rFonts w:hint="eastAsia"/>
          <w:b/>
          <w:bCs/>
          <w:color w:val="auto"/>
        </w:rPr>
        <w:t>评审因素及评分标准</w:t>
      </w:r>
      <w:bookmarkEnd w:id="58"/>
      <w:bookmarkEnd w:id="59"/>
    </w:p>
    <w:p>
      <w:pPr>
        <w:pStyle w:val="12"/>
        <w:spacing w:line="360" w:lineRule="auto"/>
        <w:ind w:firstLine="489"/>
        <w:rPr>
          <w:rFonts w:hint="eastAsia" w:ascii="等线" w:hAnsi="等线"/>
          <w:color w:val="auto"/>
        </w:rPr>
      </w:pPr>
      <w:r>
        <w:rPr>
          <w:rFonts w:hint="eastAsia" w:ascii="等线" w:hAnsi="等线"/>
          <w:color w:val="auto"/>
        </w:rPr>
        <w:t>为公正、公平、科学地选择中标人，根据《中华人民共和国政府采购法》等有关法律法规的规定，并结合本项目的实际，制定本办法。</w:t>
      </w:r>
    </w:p>
    <w:tbl>
      <w:tblPr>
        <w:tblStyle w:val="31"/>
        <w:tblW w:w="9510" w:type="dxa"/>
        <w:jc w:val="center"/>
        <w:tblLayout w:type="autofit"/>
        <w:tblCellMar>
          <w:top w:w="0" w:type="dxa"/>
          <w:left w:w="0" w:type="dxa"/>
          <w:bottom w:w="0" w:type="dxa"/>
          <w:right w:w="0" w:type="dxa"/>
        </w:tblCellMar>
      </w:tblPr>
      <w:tblGrid>
        <w:gridCol w:w="930"/>
        <w:gridCol w:w="1312"/>
        <w:gridCol w:w="6340"/>
        <w:gridCol w:w="928"/>
      </w:tblGrid>
      <w:tr>
        <w:tblPrEx>
          <w:tblCellMar>
            <w:top w:w="0" w:type="dxa"/>
            <w:left w:w="0" w:type="dxa"/>
            <w:bottom w:w="0" w:type="dxa"/>
            <w:right w:w="0" w:type="dxa"/>
          </w:tblCellMar>
        </w:tblPrEx>
        <w:trPr>
          <w:jc w:val="center"/>
        </w:trPr>
        <w:tc>
          <w:tcPr>
            <w:tcW w:w="930" w:type="dxa"/>
            <w:tcBorders>
              <w:top w:val="single" w:color="000000" w:sz="4" w:space="0"/>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　</w:t>
            </w:r>
          </w:p>
        </w:tc>
        <w:tc>
          <w:tcPr>
            <w:tcW w:w="1312" w:type="dxa"/>
            <w:tcBorders>
              <w:top w:val="single" w:color="000000" w:sz="4" w:space="0"/>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类型</w:t>
            </w:r>
          </w:p>
        </w:tc>
        <w:tc>
          <w:tcPr>
            <w:tcW w:w="6340" w:type="dxa"/>
            <w:tcBorders>
              <w:top w:val="single" w:color="000000" w:sz="4" w:space="0"/>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描述</w:t>
            </w:r>
          </w:p>
        </w:tc>
        <w:tc>
          <w:tcPr>
            <w:tcW w:w="928" w:type="dxa"/>
            <w:tcBorders>
              <w:top w:val="single" w:color="000000" w:sz="4" w:space="0"/>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分数</w:t>
            </w:r>
          </w:p>
        </w:tc>
      </w:tr>
      <w:tr>
        <w:tblPrEx>
          <w:tblCellMar>
            <w:top w:w="0" w:type="dxa"/>
            <w:left w:w="0" w:type="dxa"/>
            <w:bottom w:w="0" w:type="dxa"/>
            <w:right w:w="0" w:type="dxa"/>
          </w:tblCellMar>
        </w:tblPrEx>
        <w:trPr>
          <w:trHeight w:val="90" w:hRule="atLeast"/>
          <w:jc w:val="center"/>
        </w:trPr>
        <w:tc>
          <w:tcPr>
            <w:tcW w:w="930" w:type="dxa"/>
            <w:tcBorders>
              <w:top w:val="nil"/>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价格部分30分</w:t>
            </w:r>
          </w:p>
        </w:tc>
        <w:tc>
          <w:tcPr>
            <w:tcW w:w="1312"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价格</w:t>
            </w:r>
          </w:p>
        </w:tc>
        <w:tc>
          <w:tcPr>
            <w:tcW w:w="6340" w:type="dxa"/>
            <w:tcBorders>
              <w:top w:val="nil"/>
              <w:left w:val="nil"/>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lang w:eastAsia="zh-CN"/>
              </w:rPr>
              <w:t>评</w:t>
            </w:r>
            <w:r>
              <w:rPr>
                <w:rStyle w:val="236"/>
                <w:rFonts w:hint="eastAsia" w:ascii="宋体" w:hAnsi="宋体" w:eastAsia="宋体" w:cs="宋体"/>
                <w:color w:val="auto"/>
                <w:kern w:val="0"/>
                <w:sz w:val="24"/>
                <w:szCs w:val="24"/>
                <w:highlight w:val="none"/>
              </w:rPr>
              <w:t>标委员会只对符合性审查合格的投标文件进行价格评议，报价分采用低价优先法计算，即满足招标文件要求且投标价格</w:t>
            </w:r>
            <w:r>
              <w:rPr>
                <w:rStyle w:val="236"/>
                <w:rFonts w:hint="eastAsia" w:ascii="宋体" w:hAnsi="宋体" w:eastAsia="宋体" w:cs="宋体"/>
                <w:b/>
                <w:bCs/>
                <w:color w:val="auto"/>
                <w:kern w:val="0"/>
                <w:sz w:val="24"/>
                <w:szCs w:val="24"/>
                <w:highlight w:val="none"/>
              </w:rPr>
              <w:t>（落实政府采购政策进行价格调整的，以调整后的价格计算）</w:t>
            </w:r>
            <w:r>
              <w:rPr>
                <w:rStyle w:val="236"/>
                <w:rFonts w:hint="eastAsia" w:ascii="宋体" w:hAnsi="宋体" w:eastAsia="宋体" w:cs="宋体"/>
                <w:color w:val="auto"/>
                <w:kern w:val="0"/>
                <w:sz w:val="24"/>
                <w:szCs w:val="24"/>
                <w:highlight w:val="none"/>
              </w:rPr>
              <w:t>最低的投标报价为评标基准价，其价格分为满分。其他投标人的价格分按照下列公式计算：报价得分=(评标基准价／投标报价)×30分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30</w:t>
            </w:r>
          </w:p>
        </w:tc>
      </w:tr>
      <w:tr>
        <w:tblPrEx>
          <w:tblCellMar>
            <w:top w:w="0" w:type="dxa"/>
            <w:left w:w="0" w:type="dxa"/>
            <w:bottom w:w="0" w:type="dxa"/>
            <w:right w:w="0" w:type="dxa"/>
          </w:tblCellMar>
        </w:tblPrEx>
        <w:trPr>
          <w:trHeight w:val="90" w:hRule="atLeast"/>
          <w:jc w:val="center"/>
        </w:trPr>
        <w:tc>
          <w:tcPr>
            <w:tcW w:w="930" w:type="dxa"/>
            <w:vMerge w:val="restart"/>
            <w:tcBorders>
              <w:top w:val="nil"/>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商务部分</w:t>
            </w:r>
          </w:p>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15分</w:t>
            </w:r>
          </w:p>
        </w:tc>
        <w:tc>
          <w:tcPr>
            <w:tcW w:w="1312" w:type="dxa"/>
            <w:vMerge w:val="restart"/>
            <w:tcBorders>
              <w:top w:val="nil"/>
              <w:left w:val="nil"/>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企业能力</w:t>
            </w:r>
          </w:p>
        </w:tc>
        <w:tc>
          <w:tcPr>
            <w:tcW w:w="6340" w:type="dxa"/>
            <w:tcBorders>
              <w:top w:val="nil"/>
              <w:left w:val="nil"/>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投标人具有《ISO20000信息技术服务管理体系认证证书》及《ISO27001信息安全管理体系认证证书》,满足一项得1分，满分共2分，提供证书复印件并加盖投标人公章。</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w:t>
            </w:r>
          </w:p>
        </w:tc>
      </w:tr>
      <w:tr>
        <w:tblPrEx>
          <w:tblCellMar>
            <w:top w:w="0" w:type="dxa"/>
            <w:left w:w="0" w:type="dxa"/>
            <w:bottom w:w="0" w:type="dxa"/>
            <w:right w:w="0" w:type="dxa"/>
          </w:tblCellMar>
        </w:tblPrEx>
        <w:trPr>
          <w:trHeight w:val="90" w:hRule="atLeast"/>
          <w:jc w:val="center"/>
        </w:trPr>
        <w:tc>
          <w:tcPr>
            <w:tcW w:w="930" w:type="dxa"/>
            <w:vMerge w:val="continue"/>
            <w:tcBorders>
              <w:left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p>
        </w:tc>
        <w:tc>
          <w:tcPr>
            <w:tcW w:w="1312" w:type="dxa"/>
            <w:vMerge w:val="continue"/>
            <w:tcBorders>
              <w:left w:val="nil"/>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p>
        </w:tc>
        <w:tc>
          <w:tcPr>
            <w:tcW w:w="6340" w:type="dxa"/>
            <w:tcBorders>
              <w:top w:val="nil"/>
              <w:left w:val="nil"/>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投标人具有增值电信业务经营许可证得1分，提供证书复印件并加盖投标人公章，未提供不得分。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p>
        </w:tc>
        <w:tc>
          <w:tcPr>
            <w:tcW w:w="1312" w:type="dxa"/>
            <w:vMerge w:val="restart"/>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人员实力</w:t>
            </w:r>
          </w:p>
        </w:tc>
        <w:tc>
          <w:tcPr>
            <w:tcW w:w="6340" w:type="dxa"/>
            <w:tcBorders>
              <w:top w:val="nil"/>
              <w:left w:val="single" w:color="auto" w:sz="4" w:space="0"/>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拟派项目经理1名，具备以下资质或认证：①通信工程高级工程师；②注册渗透测试工程师CISP-PTE；③高级网络工程师HCIE；④IT服务项目经理ITSS；⑤项目管理PMP。提供以上五类证书扫描件及投标人为其缴纳的社保证明。满足一项得1分，满分共5分，提供证书复印件加盖投标人公章，否则不得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5</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vMerge w:val="continue"/>
            <w:tcBorders>
              <w:top w:val="single" w:color="auto" w:sz="4" w:space="0"/>
              <w:left w:val="single" w:color="000000" w:sz="4" w:space="0"/>
              <w:bottom w:val="single" w:color="auto" w:sz="4" w:space="0"/>
              <w:right w:val="single" w:color="auto" w:sz="4" w:space="0"/>
            </w:tcBorders>
            <w:vAlign w:val="center"/>
          </w:tcPr>
          <w:p>
            <w:pPr>
              <w:rPr>
                <w:rStyle w:val="236"/>
                <w:rFonts w:hint="eastAsia" w:ascii="宋体" w:hAnsi="宋体" w:eastAsia="宋体" w:cs="宋体"/>
                <w:color w:val="auto"/>
                <w:kern w:val="0"/>
                <w:sz w:val="24"/>
                <w:szCs w:val="24"/>
                <w:highlight w:val="none"/>
              </w:rPr>
            </w:pPr>
          </w:p>
        </w:tc>
        <w:tc>
          <w:tcPr>
            <w:tcW w:w="6340" w:type="dxa"/>
            <w:tcBorders>
              <w:top w:val="nil"/>
              <w:left w:val="single" w:color="auto" w:sz="4" w:space="0"/>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拟派技术负责人1名，具备以下资质或认证：①通信工程高级工程师；②高级信息系统项目管理师；③注册信息安全工程师CISE；④高级网络工程师HCIE；⑤项目管理PMP。提供以上五类证书扫描件及投标人为其缴纳的社保证明。满足一项得1分，满分共5分，提供证书复印件加盖投标人公章，否则不得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5</w:t>
            </w:r>
          </w:p>
        </w:tc>
      </w:tr>
      <w:tr>
        <w:tblPrEx>
          <w:tblCellMar>
            <w:top w:w="0" w:type="dxa"/>
            <w:left w:w="0" w:type="dxa"/>
            <w:bottom w:w="0" w:type="dxa"/>
            <w:right w:w="0" w:type="dxa"/>
          </w:tblCellMar>
        </w:tblPrEx>
        <w:trPr>
          <w:trHeight w:val="653" w:hRule="atLeast"/>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售后服务</w:t>
            </w:r>
          </w:p>
        </w:tc>
        <w:tc>
          <w:tcPr>
            <w:tcW w:w="6340" w:type="dxa"/>
            <w:tcBorders>
              <w:top w:val="nil"/>
              <w:left w:val="single" w:color="auto" w:sz="4" w:space="0"/>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能提供自有的本地化服务，在接到售后服务要求后在10分钟内响应，1小时到达现场得分2分；2小时内到达现场得1分；须提供能实现以上服务的自有服务机构营业执照和自有服务机构房屋产权证明，其它不得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w:t>
            </w:r>
          </w:p>
        </w:tc>
      </w:tr>
      <w:tr>
        <w:tblPrEx>
          <w:tblCellMar>
            <w:top w:w="0" w:type="dxa"/>
            <w:left w:w="0" w:type="dxa"/>
            <w:bottom w:w="0" w:type="dxa"/>
            <w:right w:w="0" w:type="dxa"/>
          </w:tblCellMar>
        </w:tblPrEx>
        <w:trPr>
          <w:jc w:val="center"/>
        </w:trPr>
        <w:tc>
          <w:tcPr>
            <w:tcW w:w="930" w:type="dxa"/>
            <w:vMerge w:val="restart"/>
            <w:tcBorders>
              <w:top w:val="single" w:color="auto" w:sz="4" w:space="0"/>
              <w:left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技术部分55分</w:t>
            </w:r>
          </w:p>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技术参数与指标</w:t>
            </w:r>
          </w:p>
        </w:tc>
        <w:tc>
          <w:tcPr>
            <w:tcW w:w="6340" w:type="dxa"/>
            <w:tcBorders>
              <w:top w:val="single" w:color="auto" w:sz="4" w:space="0"/>
              <w:left w:val="nil"/>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所有投标产品的技术参数，性能及功能完全满足，硬件产品提供产品彩页、软件产品提供功能截图；非</w:t>
            </w:r>
            <w:r>
              <w:rPr>
                <w:rFonts w:hint="eastAsia" w:ascii="宋体" w:hAnsi="宋体" w:eastAsia="宋体" w:cs="宋体"/>
                <w:color w:val="auto"/>
                <w:sz w:val="24"/>
                <w:szCs w:val="24"/>
                <w:highlight w:val="none"/>
                <w:lang w:bidi="ar"/>
              </w:rPr>
              <w:t>▲</w:t>
            </w:r>
            <w:r>
              <w:rPr>
                <w:rStyle w:val="236"/>
                <w:rFonts w:hint="eastAsia" w:ascii="宋体" w:hAnsi="宋体" w:eastAsia="宋体" w:cs="宋体"/>
                <w:color w:val="auto"/>
                <w:kern w:val="0"/>
                <w:sz w:val="24"/>
                <w:szCs w:val="24"/>
                <w:highlight w:val="none"/>
              </w:rPr>
              <w:t>条款指标不满足标书要求的，每项扣0.5分，</w:t>
            </w:r>
            <w:r>
              <w:rPr>
                <w:rFonts w:hint="eastAsia" w:ascii="宋体" w:hAnsi="宋体" w:eastAsia="宋体" w:cs="宋体"/>
                <w:color w:val="auto"/>
                <w:sz w:val="24"/>
                <w:szCs w:val="24"/>
                <w:highlight w:val="none"/>
                <w:lang w:bidi="ar"/>
              </w:rPr>
              <w:t>▲</w:t>
            </w:r>
            <w:r>
              <w:rPr>
                <w:rStyle w:val="236"/>
                <w:rFonts w:hint="eastAsia" w:ascii="宋体" w:hAnsi="宋体" w:eastAsia="宋体" w:cs="宋体"/>
                <w:color w:val="auto"/>
                <w:kern w:val="0"/>
                <w:sz w:val="24"/>
                <w:szCs w:val="24"/>
                <w:highlight w:val="none"/>
              </w:rPr>
              <w:t>条款为重要技术指标，不满足标书要求的，每项扣1分，扣完为止。</w:t>
            </w:r>
          </w:p>
        </w:tc>
        <w:tc>
          <w:tcPr>
            <w:tcW w:w="928" w:type="dxa"/>
            <w:tcBorders>
              <w:top w:val="single" w:color="auto" w:sz="4" w:space="0"/>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20</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技术设计方案</w:t>
            </w:r>
          </w:p>
        </w:tc>
        <w:tc>
          <w:tcPr>
            <w:tcW w:w="6340" w:type="dxa"/>
            <w:tcBorders>
              <w:top w:val="nil"/>
              <w:left w:val="nil"/>
              <w:bottom w:val="single" w:color="000000" w:sz="4" w:space="0"/>
              <w:right w:val="single" w:color="000000" w:sz="4" w:space="0"/>
            </w:tcBorders>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1.投标人方案应体现对</w:t>
            </w:r>
            <w:r>
              <w:rPr>
                <w:rStyle w:val="236"/>
                <w:rFonts w:hint="eastAsia" w:ascii="宋体" w:hAnsi="宋体" w:eastAsia="宋体" w:cs="宋体"/>
                <w:color w:val="auto"/>
                <w:kern w:val="0"/>
                <w:sz w:val="24"/>
                <w:szCs w:val="24"/>
                <w:highlight w:val="none"/>
                <w:lang w:eastAsia="zh-CN"/>
              </w:rPr>
              <w:t>采购人</w:t>
            </w:r>
            <w:r>
              <w:rPr>
                <w:rStyle w:val="236"/>
                <w:rFonts w:hint="eastAsia" w:ascii="宋体" w:hAnsi="宋体" w:eastAsia="宋体" w:cs="宋体"/>
                <w:color w:val="auto"/>
                <w:kern w:val="0"/>
                <w:sz w:val="24"/>
                <w:szCs w:val="24"/>
                <w:highlight w:val="none"/>
              </w:rPr>
              <w:t>网络安全现状的充分了解，能给予贴合实际情况的技术方案。</w:t>
            </w:r>
            <w:r>
              <w:rPr>
                <w:rStyle w:val="236"/>
                <w:rFonts w:hint="eastAsia" w:ascii="宋体" w:hAnsi="宋体" w:eastAsia="宋体" w:cs="宋体"/>
                <w:color w:val="auto"/>
                <w:kern w:val="0"/>
                <w:sz w:val="24"/>
                <w:szCs w:val="24"/>
                <w:highlight w:val="none"/>
                <w:lang w:eastAsia="zh-CN"/>
              </w:rPr>
              <w:t>完全满足本项目需求得</w:t>
            </w:r>
            <w:r>
              <w:rPr>
                <w:rStyle w:val="236"/>
                <w:rFonts w:hint="eastAsia" w:ascii="宋体" w:hAnsi="宋体" w:eastAsia="宋体" w:cs="宋体"/>
                <w:color w:val="auto"/>
                <w:kern w:val="0"/>
                <w:sz w:val="24"/>
                <w:szCs w:val="24"/>
                <w:highlight w:val="none"/>
                <w:lang w:val="en-US" w:eastAsia="zh-CN"/>
              </w:rPr>
              <w:t>3分，基本满足本项目需求得2分，一般得1分，未提供不得分。</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2.是否具有较好售后服务保障体系，培训目标及效果是否能满足系统维护及业务操作需要。</w:t>
            </w:r>
            <w:r>
              <w:rPr>
                <w:rStyle w:val="236"/>
                <w:rFonts w:hint="eastAsia" w:ascii="宋体" w:hAnsi="宋体" w:eastAsia="宋体" w:cs="宋体"/>
                <w:color w:val="auto"/>
                <w:kern w:val="0"/>
                <w:sz w:val="24"/>
                <w:szCs w:val="24"/>
                <w:highlight w:val="none"/>
                <w:lang w:eastAsia="zh-CN"/>
              </w:rPr>
              <w:t>完全满足本项目需求得</w:t>
            </w:r>
            <w:r>
              <w:rPr>
                <w:rStyle w:val="236"/>
                <w:rFonts w:hint="eastAsia" w:ascii="宋体" w:hAnsi="宋体" w:cs="宋体"/>
                <w:color w:val="auto"/>
                <w:kern w:val="0"/>
                <w:sz w:val="24"/>
                <w:szCs w:val="24"/>
                <w:highlight w:val="none"/>
                <w:lang w:val="en-US" w:eastAsia="zh-CN"/>
              </w:rPr>
              <w:t>2</w:t>
            </w:r>
            <w:r>
              <w:rPr>
                <w:rStyle w:val="236"/>
                <w:rFonts w:hint="eastAsia" w:ascii="宋体" w:hAnsi="宋体" w:eastAsia="宋体" w:cs="宋体"/>
                <w:color w:val="auto"/>
                <w:kern w:val="0"/>
                <w:sz w:val="24"/>
                <w:szCs w:val="24"/>
                <w:highlight w:val="none"/>
                <w:lang w:val="en-US" w:eastAsia="zh-CN"/>
              </w:rPr>
              <w:t>分，基本满足本项目需求得</w:t>
            </w:r>
            <w:r>
              <w:rPr>
                <w:rStyle w:val="236"/>
                <w:rFonts w:hint="eastAsia" w:ascii="宋体" w:hAnsi="宋体" w:cs="宋体"/>
                <w:color w:val="auto"/>
                <w:kern w:val="0"/>
                <w:sz w:val="24"/>
                <w:szCs w:val="24"/>
                <w:highlight w:val="none"/>
                <w:lang w:val="en-US" w:eastAsia="zh-CN"/>
              </w:rPr>
              <w:t>1</w:t>
            </w:r>
            <w:r>
              <w:rPr>
                <w:rStyle w:val="236"/>
                <w:rFonts w:hint="eastAsia" w:ascii="宋体" w:hAnsi="宋体" w:eastAsia="宋体" w:cs="宋体"/>
                <w:color w:val="auto"/>
                <w:kern w:val="0"/>
                <w:sz w:val="24"/>
                <w:szCs w:val="24"/>
                <w:highlight w:val="none"/>
                <w:lang w:val="en-US" w:eastAsia="zh-CN"/>
              </w:rPr>
              <w:t>分，未提供不得分。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5</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left w:val="single" w:color="000000" w:sz="4" w:space="0"/>
              <w:bottom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下一代防火墙</w:t>
            </w:r>
          </w:p>
        </w:tc>
        <w:tc>
          <w:tcPr>
            <w:tcW w:w="6340" w:type="dxa"/>
            <w:tcBorders>
              <w:top w:val="nil"/>
              <w:left w:val="nil"/>
              <w:bottom w:val="single" w:color="000000" w:sz="4" w:space="0"/>
              <w:right w:val="single" w:color="000000" w:sz="4" w:space="0"/>
            </w:tcBorders>
          </w:tcPr>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投标人所投防火墙产品符合最新防火墙安全技术要求：</w:t>
            </w:r>
          </w:p>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 为保障防火墙功能的领先性，投标人所投防火墙为第二代防火墙（GA／T 1177-2014）标准的制定单位之一。</w:t>
            </w:r>
          </w:p>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2.具备勒索软件通信防护功能，提供具备CNAS（中国合格评定国家认可委员会）资质的第三方权威机构关于“勒索软件通信防护”产品功能检测报告。</w:t>
            </w:r>
          </w:p>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 xml:space="preserve"> </w:t>
            </w:r>
            <w:r>
              <w:rPr>
                <w:rStyle w:val="236"/>
                <w:rFonts w:hint="eastAsia" w:ascii="宋体" w:hAnsi="宋体" w:eastAsia="宋体" w:cs="宋体"/>
                <w:color w:val="auto"/>
                <w:kern w:val="0"/>
                <w:sz w:val="24"/>
                <w:szCs w:val="24"/>
                <w:highlight w:val="none"/>
              </w:rPr>
              <w:t>为保障对用户信息安全的应急服务能力，投标人所投防火墙厂商要求为国家网络安全应急服务支撑单位</w:t>
            </w:r>
          </w:p>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以上要求均需提供证明材料并加盖厂商公章，满足一项得2分，</w:t>
            </w:r>
            <w:r>
              <w:rPr>
                <w:rStyle w:val="236"/>
                <w:rFonts w:hint="eastAsia" w:ascii="宋体" w:hAnsi="宋体" w:eastAsia="宋体" w:cs="宋体"/>
                <w:color w:val="auto"/>
                <w:kern w:val="0"/>
                <w:sz w:val="24"/>
                <w:szCs w:val="24"/>
                <w:highlight w:val="none"/>
                <w:lang w:eastAsia="zh-CN"/>
              </w:rPr>
              <w:t>本项共</w:t>
            </w:r>
            <w:r>
              <w:rPr>
                <w:rStyle w:val="236"/>
                <w:rFonts w:hint="eastAsia" w:ascii="宋体" w:hAnsi="宋体" w:eastAsia="宋体" w:cs="宋体"/>
                <w:color w:val="auto"/>
                <w:kern w:val="0"/>
                <w:sz w:val="24"/>
                <w:szCs w:val="24"/>
                <w:highlight w:val="none"/>
                <w:lang w:val="en-US" w:eastAsia="zh-CN"/>
              </w:rPr>
              <w:t>6分。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sz w:val="24"/>
                <w:szCs w:val="24"/>
                <w:highlight w:val="none"/>
              </w:rPr>
            </w:pPr>
            <w:r>
              <w:rPr>
                <w:rStyle w:val="236"/>
                <w:rFonts w:hint="eastAsia" w:ascii="宋体" w:hAnsi="宋体" w:eastAsia="宋体" w:cs="宋体"/>
                <w:color w:val="auto"/>
                <w:sz w:val="24"/>
                <w:szCs w:val="24"/>
                <w:highlight w:val="none"/>
              </w:rPr>
              <w:t>6</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left w:val="single" w:color="000000" w:sz="4" w:space="0"/>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sz w:val="24"/>
                <w:szCs w:val="24"/>
                <w:highlight w:val="none"/>
              </w:rPr>
              <w:t>上网行为管理</w:t>
            </w:r>
          </w:p>
        </w:tc>
        <w:tc>
          <w:tcPr>
            <w:tcW w:w="6340" w:type="dxa"/>
            <w:tcBorders>
              <w:top w:val="nil"/>
              <w:left w:val="nil"/>
              <w:bottom w:val="single" w:color="000000"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为保证上网行为管理设备通过安全认证，同时符合安全审计类产品国家标准：</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 xml:space="preserve"> </w:t>
            </w:r>
            <w:r>
              <w:rPr>
                <w:rStyle w:val="236"/>
                <w:rFonts w:hint="eastAsia" w:ascii="宋体" w:hAnsi="宋体" w:eastAsia="宋体" w:cs="宋体"/>
                <w:color w:val="auto"/>
                <w:kern w:val="0"/>
                <w:sz w:val="24"/>
                <w:szCs w:val="24"/>
                <w:highlight w:val="none"/>
              </w:rPr>
              <w:t>为保证软件开发质量，厂商具备CMMI L5认证证书。</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2.所投本项目产品通过《网络关键设备和网络安全专用产品安全认证》，同时为国家标准《信息安全技术信息系统安全审计产品技术要求和测试评价方法》的主要起草单位。</w:t>
            </w:r>
          </w:p>
          <w:p>
            <w:pP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3.提供所投产品的《计算机信息系统专用产品销售许可证》。</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以上要求均需提供证明材料并加盖厂商公章，满足一项得2分，</w:t>
            </w:r>
            <w:r>
              <w:rPr>
                <w:rStyle w:val="236"/>
                <w:rFonts w:hint="eastAsia" w:ascii="宋体" w:hAnsi="宋体" w:eastAsia="宋体" w:cs="宋体"/>
                <w:color w:val="auto"/>
                <w:kern w:val="0"/>
                <w:sz w:val="24"/>
                <w:szCs w:val="24"/>
                <w:highlight w:val="none"/>
                <w:lang w:eastAsia="zh-CN"/>
              </w:rPr>
              <w:t>本项共</w:t>
            </w:r>
            <w:r>
              <w:rPr>
                <w:rStyle w:val="236"/>
                <w:rFonts w:hint="eastAsia" w:ascii="宋体" w:hAnsi="宋体" w:eastAsia="宋体" w:cs="宋体"/>
                <w:color w:val="auto"/>
                <w:kern w:val="0"/>
                <w:sz w:val="24"/>
                <w:szCs w:val="24"/>
                <w:highlight w:val="none"/>
                <w:lang w:val="en-US" w:eastAsia="zh-CN"/>
              </w:rPr>
              <w:t>6分。</w:t>
            </w:r>
          </w:p>
        </w:tc>
        <w:tc>
          <w:tcPr>
            <w:tcW w:w="928" w:type="dxa"/>
            <w:tcBorders>
              <w:top w:val="nil"/>
              <w:left w:val="nil"/>
              <w:bottom w:val="single" w:color="000000"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6</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left w:val="single" w:color="000000" w:sz="4" w:space="0"/>
              <w:bottom w:val="single" w:color="auto"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sz w:val="24"/>
                <w:szCs w:val="24"/>
                <w:highlight w:val="none"/>
              </w:rPr>
              <w:t>网络版杀毒软件</w:t>
            </w:r>
          </w:p>
        </w:tc>
        <w:tc>
          <w:tcPr>
            <w:tcW w:w="6340" w:type="dxa"/>
            <w:tcBorders>
              <w:top w:val="nil"/>
              <w:left w:val="nil"/>
              <w:bottom w:val="single" w:color="auto" w:sz="4" w:space="0"/>
              <w:right w:val="single" w:color="000000"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为保证在未知病毒和已知病毒的新型变种上具有更强杀伤力，并及时获取系统更新补丁等服务：</w:t>
            </w:r>
          </w:p>
          <w:p>
            <w:pPr>
              <w:jc w:val="left"/>
              <w:rPr>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 xml:space="preserve"> </w:t>
            </w:r>
            <w:r>
              <w:rPr>
                <w:rStyle w:val="236"/>
                <w:rFonts w:hint="eastAsia" w:ascii="宋体" w:hAnsi="宋体" w:eastAsia="宋体" w:cs="宋体"/>
                <w:color w:val="auto"/>
                <w:kern w:val="0"/>
                <w:sz w:val="24"/>
                <w:szCs w:val="24"/>
                <w:highlight w:val="none"/>
              </w:rPr>
              <w:t>所投厂商需为国家信息安全漏洞共享平台CNVD用户组、技术组成员，需同时满足。</w:t>
            </w:r>
          </w:p>
          <w:p>
            <w:pPr>
              <w:rPr>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2.提供所投产品的《计算机信息系统专用产品销售许可证》。</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以上要求均需提供证明材料并加盖厂商公章，满足一项得1</w:t>
            </w:r>
            <w:r>
              <w:rPr>
                <w:rStyle w:val="236"/>
                <w:rFonts w:hint="eastAsia" w:ascii="宋体" w:hAnsi="宋体" w:eastAsia="宋体" w:cs="宋体"/>
                <w:color w:val="auto"/>
                <w:kern w:val="0"/>
                <w:sz w:val="24"/>
                <w:szCs w:val="24"/>
                <w:highlight w:val="none"/>
                <w:lang w:val="en-US" w:eastAsia="zh-CN"/>
              </w:rPr>
              <w:t>.5</w:t>
            </w:r>
            <w:r>
              <w:rPr>
                <w:rStyle w:val="236"/>
                <w:rFonts w:hint="eastAsia" w:ascii="宋体" w:hAnsi="宋体" w:eastAsia="宋体" w:cs="宋体"/>
                <w:color w:val="auto"/>
                <w:kern w:val="0"/>
                <w:sz w:val="24"/>
                <w:szCs w:val="24"/>
                <w:highlight w:val="none"/>
              </w:rPr>
              <w:t>分，</w:t>
            </w:r>
            <w:r>
              <w:rPr>
                <w:rStyle w:val="236"/>
                <w:rFonts w:hint="eastAsia" w:ascii="宋体" w:hAnsi="宋体" w:eastAsia="宋体" w:cs="宋体"/>
                <w:color w:val="auto"/>
                <w:kern w:val="0"/>
                <w:sz w:val="24"/>
                <w:szCs w:val="24"/>
                <w:highlight w:val="none"/>
                <w:lang w:eastAsia="zh-CN"/>
              </w:rPr>
              <w:t>本项共</w:t>
            </w:r>
            <w:r>
              <w:rPr>
                <w:rStyle w:val="236"/>
                <w:rFonts w:hint="eastAsia" w:ascii="宋体" w:hAnsi="宋体" w:eastAsia="宋体" w:cs="宋体"/>
                <w:color w:val="auto"/>
                <w:kern w:val="0"/>
                <w:sz w:val="24"/>
                <w:szCs w:val="24"/>
                <w:highlight w:val="none"/>
                <w:lang w:val="en-US" w:eastAsia="zh-CN"/>
              </w:rPr>
              <w:t>3分。</w:t>
            </w:r>
          </w:p>
        </w:tc>
        <w:tc>
          <w:tcPr>
            <w:tcW w:w="928" w:type="dxa"/>
            <w:tcBorders>
              <w:top w:val="nil"/>
              <w:left w:val="nil"/>
              <w:bottom w:val="single" w:color="auto" w:sz="4" w:space="0"/>
              <w:right w:val="single" w:color="000000"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Web应用防火墙</w:t>
            </w:r>
          </w:p>
        </w:tc>
        <w:tc>
          <w:tcPr>
            <w:tcW w:w="6340" w:type="dxa"/>
            <w:tcBorders>
              <w:top w:val="single" w:color="auto" w:sz="4" w:space="0"/>
              <w:left w:val="single" w:color="auto" w:sz="4" w:space="0"/>
              <w:bottom w:val="single" w:color="auto" w:sz="4" w:space="0"/>
              <w:right w:val="single" w:color="auto"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为保证WEB防火墙产品安全有效、性能稳定、易用性好：</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1、所投设备</w:t>
            </w:r>
            <w:r>
              <w:rPr>
                <w:rFonts w:hint="eastAsia" w:ascii="宋体" w:hAnsi="宋体" w:eastAsia="宋体" w:cs="宋体"/>
                <w:color w:val="auto"/>
                <w:sz w:val="24"/>
                <w:szCs w:val="24"/>
                <w:highlight w:val="none"/>
              </w:rPr>
              <w:t>厂商近两年应具备国家信息安全漏洞库CNNVD颁发的年度最佳支撑单位证书</w:t>
            </w:r>
            <w:r>
              <w:rPr>
                <w:rStyle w:val="236"/>
                <w:rFonts w:hint="eastAsia" w:ascii="宋体" w:hAnsi="宋体" w:eastAsia="宋体" w:cs="宋体"/>
                <w:color w:val="auto"/>
                <w:kern w:val="0"/>
                <w:sz w:val="24"/>
                <w:szCs w:val="24"/>
                <w:highlight w:val="none"/>
              </w:rPr>
              <w:t xml:space="preserve">。 </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rPr>
              <w:t xml:space="preserve"> 厂商具备《CNCERT/CC网络安全应急服务支撑单位》国家级资质；</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以上要求均需提供证明材料并加盖厂商公章，满足一项得1</w:t>
            </w:r>
            <w:r>
              <w:rPr>
                <w:rStyle w:val="236"/>
                <w:rFonts w:hint="eastAsia" w:ascii="宋体" w:hAnsi="宋体" w:eastAsia="宋体" w:cs="宋体"/>
                <w:color w:val="auto"/>
                <w:kern w:val="0"/>
                <w:sz w:val="24"/>
                <w:szCs w:val="24"/>
                <w:highlight w:val="none"/>
                <w:lang w:val="en-US" w:eastAsia="zh-CN"/>
              </w:rPr>
              <w:t>.5</w:t>
            </w:r>
            <w:r>
              <w:rPr>
                <w:rStyle w:val="236"/>
                <w:rFonts w:hint="eastAsia" w:ascii="宋体" w:hAnsi="宋体" w:eastAsia="宋体" w:cs="宋体"/>
                <w:color w:val="auto"/>
                <w:kern w:val="0"/>
                <w:sz w:val="24"/>
                <w:szCs w:val="24"/>
                <w:highlight w:val="none"/>
              </w:rPr>
              <w:t>分，</w:t>
            </w:r>
            <w:r>
              <w:rPr>
                <w:rStyle w:val="236"/>
                <w:rFonts w:hint="eastAsia" w:ascii="宋体" w:hAnsi="宋体" w:eastAsia="宋体" w:cs="宋体"/>
                <w:color w:val="auto"/>
                <w:kern w:val="0"/>
                <w:sz w:val="24"/>
                <w:szCs w:val="24"/>
                <w:highlight w:val="none"/>
                <w:lang w:eastAsia="zh-CN"/>
              </w:rPr>
              <w:t>本项共</w:t>
            </w:r>
            <w:r>
              <w:rPr>
                <w:rStyle w:val="236"/>
                <w:rFonts w:hint="eastAsia" w:ascii="宋体" w:hAnsi="宋体" w:eastAsia="宋体" w:cs="宋体"/>
                <w:color w:val="auto"/>
                <w:kern w:val="0"/>
                <w:sz w:val="24"/>
                <w:szCs w:val="24"/>
                <w:highlight w:val="none"/>
                <w:lang w:val="en-US" w:eastAsia="zh-CN"/>
              </w:rPr>
              <w:t>3分。</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态势感知平台</w:t>
            </w:r>
          </w:p>
        </w:tc>
        <w:tc>
          <w:tcPr>
            <w:tcW w:w="6340" w:type="dxa"/>
            <w:tcBorders>
              <w:top w:val="single" w:color="auto" w:sz="4" w:space="0"/>
              <w:left w:val="single" w:color="auto" w:sz="4" w:space="0"/>
              <w:bottom w:val="single" w:color="auto" w:sz="4" w:space="0"/>
              <w:right w:val="single" w:color="auto"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为保证态势感知产品安全有效、性能稳定、易用性好：</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1.态势感知与流量探针为集成在同一台设备。</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2.CSA云安全联盟颁发的《CS-CMMI5云安全能力成熟度模型认证证书》。</w:t>
            </w:r>
          </w:p>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以上要求均需提供证明材料并加盖厂商公章，满足一项得1</w:t>
            </w:r>
            <w:r>
              <w:rPr>
                <w:rStyle w:val="236"/>
                <w:rFonts w:hint="eastAsia" w:ascii="宋体" w:hAnsi="宋体" w:eastAsia="宋体" w:cs="宋体"/>
                <w:color w:val="auto"/>
                <w:kern w:val="0"/>
                <w:sz w:val="24"/>
                <w:szCs w:val="24"/>
                <w:highlight w:val="none"/>
                <w:lang w:val="en-US" w:eastAsia="zh-CN"/>
              </w:rPr>
              <w:t>.5</w:t>
            </w:r>
            <w:r>
              <w:rPr>
                <w:rStyle w:val="236"/>
                <w:rFonts w:hint="eastAsia" w:ascii="宋体" w:hAnsi="宋体" w:eastAsia="宋体" w:cs="宋体"/>
                <w:color w:val="auto"/>
                <w:kern w:val="0"/>
                <w:sz w:val="24"/>
                <w:szCs w:val="24"/>
                <w:highlight w:val="none"/>
              </w:rPr>
              <w:t>分，</w:t>
            </w:r>
            <w:r>
              <w:rPr>
                <w:rStyle w:val="236"/>
                <w:rFonts w:hint="eastAsia" w:ascii="宋体" w:hAnsi="宋体" w:eastAsia="宋体" w:cs="宋体"/>
                <w:color w:val="auto"/>
                <w:kern w:val="0"/>
                <w:sz w:val="24"/>
                <w:szCs w:val="24"/>
                <w:highlight w:val="none"/>
                <w:lang w:eastAsia="zh-CN"/>
              </w:rPr>
              <w:t>本项共</w:t>
            </w:r>
            <w:r>
              <w:rPr>
                <w:rStyle w:val="236"/>
                <w:rFonts w:hint="eastAsia" w:ascii="宋体" w:hAnsi="宋体" w:eastAsia="宋体" w:cs="宋体"/>
                <w:color w:val="auto"/>
                <w:kern w:val="0"/>
                <w:sz w:val="24"/>
                <w:szCs w:val="24"/>
                <w:highlight w:val="none"/>
                <w:lang w:val="en-US" w:eastAsia="zh-CN"/>
              </w:rPr>
              <w:t>3分。</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日志审计</w:t>
            </w:r>
          </w:p>
        </w:tc>
        <w:tc>
          <w:tcPr>
            <w:tcW w:w="6340" w:type="dxa"/>
            <w:tcBorders>
              <w:top w:val="single" w:color="auto" w:sz="4" w:space="0"/>
              <w:left w:val="single" w:color="auto" w:sz="4" w:space="0"/>
              <w:bottom w:val="single" w:color="auto" w:sz="4" w:space="0"/>
              <w:right w:val="single" w:color="auto" w:sz="4" w:space="0"/>
            </w:tcBorders>
            <w:vAlign w:val="center"/>
          </w:tcPr>
          <w:p>
            <w:pPr>
              <w:jc w:val="left"/>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lang w:eastAsia="zh-CN"/>
              </w:rPr>
              <w:t>所投</w:t>
            </w:r>
            <w:r>
              <w:rPr>
                <w:rStyle w:val="236"/>
                <w:rFonts w:hint="eastAsia" w:ascii="宋体" w:hAnsi="宋体" w:eastAsia="宋体" w:cs="宋体"/>
                <w:color w:val="auto"/>
                <w:kern w:val="0"/>
                <w:sz w:val="24"/>
                <w:szCs w:val="24"/>
                <w:highlight w:val="none"/>
              </w:rPr>
              <w:t>日志审计产品厂商具备《信息通信行业企业信用等级评价（运维服务领域）》AAA级资质。提供资质截图证明并加盖厂商公章得3分，否则不得分。</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r>
        <w:tblPrEx>
          <w:tblCellMar>
            <w:top w:w="0" w:type="dxa"/>
            <w:left w:w="0" w:type="dxa"/>
            <w:bottom w:w="0" w:type="dxa"/>
            <w:right w:w="0" w:type="dxa"/>
          </w:tblCellMar>
        </w:tblPrEx>
        <w:trPr>
          <w:jc w:val="center"/>
        </w:trPr>
        <w:tc>
          <w:tcPr>
            <w:tcW w:w="930" w:type="dxa"/>
            <w:vMerge w:val="continue"/>
            <w:tcBorders>
              <w:left w:val="single" w:color="000000"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数据库审计</w:t>
            </w:r>
          </w:p>
        </w:tc>
        <w:tc>
          <w:tcPr>
            <w:tcW w:w="6340" w:type="dxa"/>
            <w:tcBorders>
              <w:top w:val="single" w:color="auto" w:sz="4" w:space="0"/>
              <w:left w:val="single" w:color="auto" w:sz="4" w:space="0"/>
              <w:bottom w:val="single" w:color="auto" w:sz="4" w:space="0"/>
              <w:right w:val="single" w:color="auto" w:sz="4" w:space="0"/>
            </w:tcBorders>
            <w:vAlign w:val="center"/>
          </w:tcPr>
          <w:p>
            <w:pPr>
              <w:jc w:val="left"/>
              <w:rPr>
                <w:rStyle w:val="236"/>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所投</w:t>
            </w:r>
            <w:r>
              <w:rPr>
                <w:rFonts w:hint="eastAsia" w:ascii="宋体" w:hAnsi="宋体" w:eastAsia="宋体" w:cs="宋体"/>
                <w:color w:val="auto"/>
                <w:kern w:val="0"/>
                <w:sz w:val="24"/>
                <w:szCs w:val="24"/>
                <w:highlight w:val="none"/>
              </w:rPr>
              <w:t>数据库审计产品厂商是“信息安全等级保护关键技术国家工程实验室”参建单位</w:t>
            </w:r>
            <w:r>
              <w:rPr>
                <w:rStyle w:val="236"/>
                <w:rFonts w:hint="eastAsia" w:ascii="宋体" w:hAnsi="宋体" w:eastAsia="宋体" w:cs="宋体"/>
                <w:color w:val="auto"/>
                <w:kern w:val="0"/>
                <w:sz w:val="24"/>
                <w:szCs w:val="24"/>
                <w:highlight w:val="none"/>
              </w:rPr>
              <w:t>。提供资质截图证明并加盖厂商公章得3分，否则不得分。</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r>
        <w:tblPrEx>
          <w:tblCellMar>
            <w:top w:w="0" w:type="dxa"/>
            <w:left w:w="0" w:type="dxa"/>
            <w:bottom w:w="0" w:type="dxa"/>
            <w:right w:w="0" w:type="dxa"/>
          </w:tblCellMar>
        </w:tblPrEx>
        <w:trPr>
          <w:jc w:val="center"/>
        </w:trPr>
        <w:tc>
          <w:tcPr>
            <w:tcW w:w="930" w:type="dxa"/>
            <w:vMerge w:val="continue"/>
            <w:tcBorders>
              <w:left w:val="single" w:color="000000" w:sz="4" w:space="0"/>
              <w:bottom w:val="single" w:color="auto" w:sz="4" w:space="0"/>
              <w:right w:val="single" w:color="000000" w:sz="4" w:space="0"/>
            </w:tcBorders>
            <w:vAlign w:val="center"/>
          </w:tcPr>
          <w:p>
            <w:pPr>
              <w:rPr>
                <w:rStyle w:val="236"/>
                <w:rFonts w:hint="eastAsia" w:ascii="宋体" w:hAnsi="宋体" w:eastAsia="宋体" w:cs="宋体"/>
                <w:color w:val="auto"/>
                <w:kern w:val="0"/>
                <w:sz w:val="24"/>
                <w:szCs w:val="24"/>
                <w:highlight w:val="none"/>
              </w:rPr>
            </w:pPr>
          </w:p>
        </w:tc>
        <w:tc>
          <w:tcPr>
            <w:tcW w:w="1312" w:type="dxa"/>
            <w:tcBorders>
              <w:top w:val="single" w:color="auto" w:sz="4" w:space="0"/>
              <w:left w:val="single" w:color="000000"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漏洞扫描</w:t>
            </w:r>
          </w:p>
        </w:tc>
        <w:tc>
          <w:tcPr>
            <w:tcW w:w="6340" w:type="dxa"/>
            <w:tcBorders>
              <w:top w:val="single" w:color="auto" w:sz="4" w:space="0"/>
              <w:left w:val="single" w:color="auto" w:sz="4" w:space="0"/>
              <w:bottom w:val="single" w:color="auto" w:sz="4" w:space="0"/>
              <w:right w:val="single" w:color="auto" w:sz="4" w:space="0"/>
            </w:tcBorders>
            <w:vAlign w:val="center"/>
          </w:tcPr>
          <w:p>
            <w:pPr>
              <w:jc w:val="left"/>
              <w:rPr>
                <w:rStyle w:val="236"/>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为提高运维效率，下发系统漏洞扫描任务时，扫描的目标支持ip、域名、网段、子网的灵活组合配置</w:t>
            </w:r>
            <w:r>
              <w:rPr>
                <w:rStyle w:val="236"/>
                <w:rFonts w:hint="eastAsia" w:ascii="宋体" w:hAnsi="宋体" w:eastAsia="宋体" w:cs="宋体"/>
                <w:color w:val="auto"/>
                <w:kern w:val="0"/>
                <w:sz w:val="24"/>
                <w:szCs w:val="24"/>
                <w:highlight w:val="none"/>
              </w:rPr>
              <w:t>。提供资质截图证明并加盖厂商公章得3分，否则不得分。</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Style w:val="236"/>
                <w:rFonts w:hint="eastAsia" w:ascii="宋体" w:hAnsi="宋体" w:eastAsia="宋体" w:cs="宋体"/>
                <w:color w:val="auto"/>
                <w:kern w:val="0"/>
                <w:sz w:val="24"/>
                <w:szCs w:val="24"/>
                <w:highlight w:val="none"/>
              </w:rPr>
            </w:pPr>
            <w:r>
              <w:rPr>
                <w:rStyle w:val="236"/>
                <w:rFonts w:hint="eastAsia" w:ascii="宋体" w:hAnsi="宋体" w:eastAsia="宋体" w:cs="宋体"/>
                <w:color w:val="auto"/>
                <w:kern w:val="0"/>
                <w:sz w:val="24"/>
                <w:szCs w:val="24"/>
                <w:highlight w:val="none"/>
              </w:rPr>
              <w:t>3</w:t>
            </w:r>
          </w:p>
        </w:tc>
      </w:tr>
    </w:tbl>
    <w:p>
      <w:pPr>
        <w:spacing w:line="480" w:lineRule="exact"/>
        <w:ind w:firstLine="602" w:firstLineChars="200"/>
        <w:rPr>
          <w:rFonts w:ascii="宋体" w:hAnsi="宋体"/>
          <w:b/>
          <w:color w:val="auto"/>
          <w:sz w:val="24"/>
        </w:rPr>
      </w:pPr>
      <w:r>
        <w:rPr>
          <w:rFonts w:hint="eastAsia" w:ascii="宋体" w:hAnsi="宋体"/>
          <w:b/>
          <w:color w:val="auto"/>
          <w:sz w:val="30"/>
          <w:szCs w:val="30"/>
        </w:rPr>
        <w:t>四、计分办法</w:t>
      </w:r>
    </w:p>
    <w:p>
      <w:pPr>
        <w:spacing w:line="480" w:lineRule="exact"/>
        <w:ind w:firstLine="482" w:firstLineChars="200"/>
        <w:rPr>
          <w:rFonts w:ascii="宋体" w:hAnsi="宋体"/>
          <w:color w:val="auto"/>
          <w:sz w:val="24"/>
          <w:szCs w:val="24"/>
        </w:rPr>
      </w:pPr>
      <w:r>
        <w:rPr>
          <w:rFonts w:hint="eastAsia" w:ascii="宋体" w:hAnsi="宋体"/>
          <w:color w:val="auto"/>
          <w:sz w:val="24"/>
          <w:szCs w:val="24"/>
        </w:rPr>
        <w:t>1.政府集中采购机构负责对各评委的总分进行算术复核并汇总。各项统计结果均精确到小数点后两位。</w:t>
      </w:r>
    </w:p>
    <w:p>
      <w:pPr>
        <w:spacing w:line="480" w:lineRule="exact"/>
        <w:ind w:firstLine="482" w:firstLineChars="200"/>
        <w:rPr>
          <w:rFonts w:ascii="等线" w:hAnsi="等线"/>
          <w:color w:val="auto"/>
          <w:sz w:val="24"/>
          <w:szCs w:val="24"/>
        </w:rPr>
      </w:pPr>
      <w:r>
        <w:rPr>
          <w:rFonts w:hint="eastAsia" w:ascii="宋体" w:hAnsi="宋体"/>
          <w:color w:val="auto"/>
          <w:sz w:val="24"/>
          <w:szCs w:val="24"/>
        </w:rPr>
        <w:t>2.各投标人的最终得分为评委所评定分数的算术平均值。</w:t>
      </w:r>
    </w:p>
    <w:bookmarkEnd w:id="60"/>
    <w:p>
      <w:pPr>
        <w:pStyle w:val="3"/>
        <w:pageBreakBefore/>
        <w:numPr>
          <w:ilvl w:val="0"/>
          <w:numId w:val="1"/>
        </w:numPr>
        <w:jc w:val="center"/>
        <w:rPr>
          <w:rFonts w:ascii="黑体" w:hAnsi="黑体" w:eastAsia="黑体"/>
          <w:color w:val="auto"/>
        </w:rPr>
      </w:pPr>
      <w:bookmarkStart w:id="61" w:name="_Toc494745310"/>
      <w:bookmarkStart w:id="62" w:name="_Toc494665943"/>
      <w:bookmarkStart w:id="63" w:name="_Toc494702263"/>
      <w:bookmarkStart w:id="64" w:name="_Toc494664993"/>
      <w:bookmarkStart w:id="65" w:name="_Toc7495"/>
      <w:bookmarkStart w:id="66" w:name="_Toc494665546"/>
      <w:bookmarkStart w:id="67" w:name="_Toc494721093"/>
      <w:r>
        <w:rPr>
          <w:rFonts w:hint="eastAsia" w:ascii="黑体" w:hAnsi="黑体" w:eastAsia="黑体"/>
          <w:color w:val="auto"/>
        </w:rPr>
        <w:t>合同书格式（参考）</w:t>
      </w:r>
      <w:bookmarkEnd w:id="61"/>
      <w:bookmarkEnd w:id="62"/>
      <w:bookmarkEnd w:id="63"/>
      <w:bookmarkEnd w:id="64"/>
      <w:bookmarkEnd w:id="65"/>
      <w:bookmarkEnd w:id="66"/>
      <w:bookmarkEnd w:id="67"/>
    </w:p>
    <w:p>
      <w:pPr>
        <w:spacing w:line="360" w:lineRule="auto"/>
        <w:ind w:firstLine="482" w:firstLineChars="200"/>
        <w:rPr>
          <w:color w:val="auto"/>
          <w:sz w:val="24"/>
          <w:szCs w:val="24"/>
        </w:rPr>
      </w:pPr>
      <w:r>
        <w:rPr>
          <w:rFonts w:hint="eastAsia"/>
          <w:color w:val="auto"/>
          <w:sz w:val="24"/>
          <w:szCs w:val="24"/>
        </w:rPr>
        <w:t>（根据《政府采购法》和《民法典》相关规定，采购人和中标人之间的权利和义务，应当按照平等、自愿的原则以合同方式约定。此合同书仅作为签订正式合同时的参考，正式合同书应包括本参考格式之内容。）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b/>
          <w:color w:val="auto"/>
          <w:kern w:val="0"/>
          <w:sz w:val="36"/>
          <w:szCs w:val="36"/>
        </w:rPr>
      </w:pPr>
      <w:r>
        <w:rPr>
          <w:rFonts w:hint="eastAsia" w:ascii="宋体" w:hAnsi="宋体"/>
          <w:b/>
          <w:color w:val="auto"/>
          <w:kern w:val="0"/>
          <w:sz w:val="36"/>
          <w:szCs w:val="36"/>
        </w:rPr>
        <w:t>合   同   书</w:t>
      </w:r>
    </w:p>
    <w:p>
      <w:pPr>
        <w:spacing w:before="79" w:beforeLines="25" w:line="360" w:lineRule="auto"/>
        <w:ind w:firstLine="482" w:firstLineChars="200"/>
        <w:rPr>
          <w:rFonts w:ascii="Helvetica" w:hAnsi="Helvetica" w:cs="Helvetica"/>
          <w:b/>
          <w:color w:val="auto"/>
          <w:kern w:val="0"/>
          <w:sz w:val="24"/>
          <w:szCs w:val="24"/>
        </w:rPr>
      </w:pPr>
      <w:r>
        <w:rPr>
          <w:rFonts w:hint="eastAsia" w:ascii="Helvetica" w:hAnsi="Helvetica" w:cs="Helvetica"/>
          <w:b/>
          <w:color w:val="auto"/>
          <w:kern w:val="0"/>
          <w:sz w:val="24"/>
          <w:szCs w:val="24"/>
        </w:rPr>
        <w:t>项目名称：</w:t>
      </w:r>
    </w:p>
    <w:p>
      <w:pPr>
        <w:spacing w:before="79" w:beforeLines="25" w:line="360" w:lineRule="auto"/>
        <w:ind w:firstLine="482" w:firstLineChars="200"/>
        <w:rPr>
          <w:rFonts w:ascii="Helvetica" w:hAnsi="Helvetica" w:cs="Helvetica"/>
          <w:b/>
          <w:color w:val="auto"/>
          <w:kern w:val="0"/>
          <w:sz w:val="24"/>
          <w:szCs w:val="24"/>
        </w:rPr>
      </w:pPr>
      <w:r>
        <w:rPr>
          <w:rFonts w:hint="eastAsia" w:ascii="Helvetica" w:hAnsi="Helvetica" w:cs="Helvetica"/>
          <w:b/>
          <w:color w:val="auto"/>
          <w:kern w:val="0"/>
          <w:sz w:val="24"/>
          <w:szCs w:val="24"/>
        </w:rPr>
        <w:t>合同编号：</w:t>
      </w:r>
    </w:p>
    <w:p>
      <w:pPr>
        <w:spacing w:before="79" w:beforeLines="25" w:line="360" w:lineRule="auto"/>
        <w:ind w:firstLine="482" w:firstLineChars="200"/>
        <w:rPr>
          <w:rFonts w:ascii="Helvetica" w:hAnsi="Helvetica" w:cs="Helvetica"/>
          <w:b/>
          <w:color w:val="auto"/>
          <w:kern w:val="0"/>
          <w:sz w:val="24"/>
          <w:szCs w:val="24"/>
        </w:rPr>
      </w:pPr>
      <w:r>
        <w:rPr>
          <w:rFonts w:hint="eastAsia" w:ascii="Helvetica" w:hAnsi="Helvetica" w:cs="Helvetica"/>
          <w:b/>
          <w:color w:val="auto"/>
          <w:kern w:val="0"/>
          <w:sz w:val="24"/>
          <w:szCs w:val="24"/>
        </w:rPr>
        <w:t>签订日期：</w:t>
      </w:r>
    </w:p>
    <w:p>
      <w:pPr>
        <w:spacing w:before="79" w:beforeLines="25" w:line="360" w:lineRule="auto"/>
        <w:ind w:firstLine="482" w:firstLineChars="200"/>
        <w:rPr>
          <w:rFonts w:ascii="Helvetica" w:hAnsi="Helvetica" w:cs="Helvetica"/>
          <w:b/>
          <w:color w:val="auto"/>
          <w:kern w:val="0"/>
          <w:sz w:val="24"/>
          <w:szCs w:val="24"/>
        </w:rPr>
      </w:pPr>
      <w:r>
        <w:rPr>
          <w:rFonts w:hint="eastAsia" w:ascii="Helvetica" w:hAnsi="Helvetica" w:cs="Helvetica"/>
          <w:b/>
          <w:color w:val="auto"/>
          <w:kern w:val="0"/>
          <w:sz w:val="24"/>
          <w:szCs w:val="24"/>
        </w:rPr>
        <w:t>签订合同地点：</w:t>
      </w:r>
    </w:p>
    <w:p>
      <w:pPr>
        <w:spacing w:before="79" w:beforeLines="25" w:line="360" w:lineRule="auto"/>
        <w:ind w:firstLine="482" w:firstLineChars="200"/>
        <w:rPr>
          <w:rFonts w:ascii="Helvetica" w:hAnsi="Helvetica" w:cs="Helvetica"/>
          <w:color w:val="auto"/>
          <w:kern w:val="0"/>
          <w:sz w:val="24"/>
          <w:szCs w:val="24"/>
        </w:rPr>
      </w:pPr>
      <w:r>
        <w:rPr>
          <w:rFonts w:hint="eastAsia" w:ascii="Helvetica" w:hAnsi="Helvetica" w:cs="Helvetica"/>
          <w:color w:val="auto"/>
          <w:kern w:val="0"/>
          <w:sz w:val="24"/>
          <w:szCs w:val="24"/>
        </w:rPr>
        <w:t>本合同由</w:t>
      </w:r>
      <w:r>
        <w:rPr>
          <w:rFonts w:hint="eastAsia" w:ascii="Helvetica" w:hAnsi="Helvetica" w:cs="Helvetica"/>
          <w:color w:val="auto"/>
          <w:kern w:val="0"/>
          <w:sz w:val="24"/>
          <w:szCs w:val="24"/>
          <w:u w:val="single"/>
        </w:rPr>
        <w:t>（采购人）</w:t>
      </w:r>
      <w:r>
        <w:rPr>
          <w:rFonts w:hint="eastAsia" w:ascii="Helvetica" w:hAnsi="Helvetica" w:cs="Helvetica"/>
          <w:color w:val="auto"/>
          <w:kern w:val="0"/>
          <w:sz w:val="24"/>
          <w:szCs w:val="24"/>
        </w:rPr>
        <w:t>（以下简称“甲方”）与</w:t>
      </w:r>
      <w:r>
        <w:rPr>
          <w:rFonts w:hint="eastAsia" w:ascii="Helvetica" w:hAnsi="Helvetica" w:cs="Helvetica"/>
          <w:color w:val="auto"/>
          <w:kern w:val="0"/>
          <w:sz w:val="24"/>
          <w:szCs w:val="24"/>
          <w:u w:val="single"/>
        </w:rPr>
        <w:t>（中标人）</w:t>
      </w:r>
      <w:r>
        <w:rPr>
          <w:rFonts w:hint="eastAsia" w:ascii="Helvetica" w:hAnsi="Helvetica" w:cs="Helvetica"/>
          <w:color w:val="auto"/>
          <w:kern w:val="0"/>
          <w:sz w:val="24"/>
          <w:szCs w:val="24"/>
        </w:rPr>
        <w:t>（以下简称“乙方”）签订。乙方以总金额万元人民币（用大写数字书写）向甲方提供如下货物（工程或服务）：</w:t>
      </w:r>
    </w:p>
    <w:p>
      <w:pPr>
        <w:spacing w:before="79" w:beforeLines="25" w:line="360" w:lineRule="auto"/>
        <w:ind w:firstLine="491" w:firstLineChars="204"/>
        <w:contextualSpacing/>
        <w:rPr>
          <w:rFonts w:ascii="宋体" w:hAnsi="宋体"/>
          <w:b/>
          <w:color w:val="auto"/>
          <w:kern w:val="0"/>
          <w:sz w:val="24"/>
          <w:szCs w:val="20"/>
        </w:rPr>
      </w:pPr>
      <w:r>
        <w:rPr>
          <w:rFonts w:hint="eastAsia" w:ascii="Helvetica" w:hAnsi="Helvetica" w:cs="Helvetica"/>
          <w:b/>
          <w:color w:val="auto"/>
          <w:kern w:val="0"/>
          <w:sz w:val="24"/>
          <w:szCs w:val="24"/>
        </w:rPr>
        <w:t>经双方协商，同意按下列条文执行：</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本合同甲、乙双方应遵守国家颁布的《中华人民共和国民法典》、《中华人民共和国政府采购法》，并各自履行应负的全部责任和义务。</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甲方保证按合同条款规定的时间和方式付给乙方到期应付的合同款，并承担应负的责任和义务。</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乙方保证按合同条款规定的内容和工期（服务期限）向甲方提供合格的货物（工程或服务），并承担应负的责任和义务。</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合同文件。下列文件为本合同不可分割的部分：</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招标文件（项目编号：</w:t>
      </w:r>
      <w:r>
        <w:rPr>
          <w:rFonts w:hint="eastAsia" w:ascii="宋体" w:hAnsi="宋体"/>
          <w:color w:val="auto"/>
          <w:kern w:val="0"/>
          <w:sz w:val="24"/>
          <w:szCs w:val="20"/>
          <w:u w:val="single"/>
        </w:rPr>
        <w:t>　　            　</w:t>
      </w:r>
      <w:r>
        <w:rPr>
          <w:rFonts w:hint="eastAsia" w:ascii="宋体" w:hAnsi="宋体"/>
          <w:color w:val="auto"/>
          <w:kern w:val="0"/>
          <w:sz w:val="24"/>
          <w:szCs w:val="20"/>
        </w:rPr>
        <w:t>）；</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中标的投标文件；</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合同书；</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合同条款；</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集中采购机构发出的中标通知书；</w:t>
      </w:r>
    </w:p>
    <w:p>
      <w:pPr>
        <w:adjustRightInd w:val="0"/>
        <w:spacing w:before="79" w:beforeLines="25" w:line="360" w:lineRule="auto"/>
        <w:ind w:left="477"/>
        <w:rPr>
          <w:rFonts w:ascii="宋体" w:hAnsi="宋体"/>
          <w:color w:val="auto"/>
          <w:kern w:val="0"/>
          <w:sz w:val="24"/>
          <w:szCs w:val="20"/>
        </w:rPr>
      </w:pPr>
      <w:r>
        <w:rPr>
          <w:rFonts w:hint="eastAsia" w:ascii="宋体" w:hAnsi="宋体"/>
          <w:color w:val="auto"/>
          <w:kern w:val="0"/>
          <w:sz w:val="24"/>
          <w:szCs w:val="20"/>
        </w:rPr>
        <w:t>附件；</w:t>
      </w:r>
    </w:p>
    <w:p>
      <w:pPr>
        <w:spacing w:before="79" w:beforeLines="25" w:line="360" w:lineRule="auto"/>
        <w:ind w:left="634"/>
        <w:rPr>
          <w:rFonts w:ascii="宋体" w:hAnsi="宋体"/>
          <w:color w:val="auto"/>
          <w:sz w:val="24"/>
          <w:szCs w:val="20"/>
        </w:rPr>
      </w:pPr>
      <w:r>
        <w:rPr>
          <w:rFonts w:hint="eastAsia" w:ascii="宋体" w:hAnsi="宋体"/>
          <w:color w:val="auto"/>
          <w:kern w:val="0"/>
          <w:sz w:val="24"/>
          <w:szCs w:val="20"/>
        </w:rPr>
        <w:t>甲方</w:t>
      </w:r>
      <w:r>
        <w:rPr>
          <w:rFonts w:hint="eastAsia" w:ascii="宋体" w:hAnsi="宋体"/>
          <w:color w:val="auto"/>
          <w:sz w:val="24"/>
          <w:szCs w:val="20"/>
        </w:rPr>
        <w:t>在招标期间发布的所有补充通知；</w:t>
      </w:r>
    </w:p>
    <w:p>
      <w:pPr>
        <w:spacing w:before="79" w:beforeLines="25" w:line="360" w:lineRule="auto"/>
        <w:ind w:left="634"/>
        <w:rPr>
          <w:rFonts w:ascii="宋体" w:hAnsi="宋体"/>
          <w:color w:val="auto"/>
          <w:kern w:val="0"/>
          <w:sz w:val="24"/>
          <w:szCs w:val="20"/>
        </w:rPr>
      </w:pPr>
      <w:r>
        <w:rPr>
          <w:rFonts w:hint="eastAsia" w:ascii="宋体" w:hAnsi="宋体"/>
          <w:color w:val="auto"/>
          <w:kern w:val="0"/>
          <w:sz w:val="24"/>
          <w:szCs w:val="20"/>
        </w:rPr>
        <w:t>乙方在投标期内补充的所有书面文件；</w:t>
      </w:r>
    </w:p>
    <w:p>
      <w:pPr>
        <w:spacing w:before="79" w:beforeLines="25" w:line="360" w:lineRule="auto"/>
        <w:ind w:left="634"/>
        <w:rPr>
          <w:rFonts w:ascii="宋体" w:hAnsi="宋体"/>
          <w:color w:val="auto"/>
          <w:kern w:val="0"/>
          <w:sz w:val="24"/>
          <w:szCs w:val="20"/>
        </w:rPr>
      </w:pPr>
      <w:r>
        <w:rPr>
          <w:rFonts w:hint="eastAsia" w:ascii="宋体" w:hAnsi="宋体"/>
          <w:color w:val="auto"/>
          <w:kern w:val="0"/>
          <w:sz w:val="24"/>
          <w:szCs w:val="20"/>
        </w:rPr>
        <w:t>乙方在投标时随同投标文件一起递送的资料及附图；</w:t>
      </w:r>
    </w:p>
    <w:p>
      <w:pPr>
        <w:spacing w:before="79" w:beforeLines="25" w:line="360" w:lineRule="auto"/>
        <w:ind w:left="634"/>
        <w:rPr>
          <w:rFonts w:ascii="宋体" w:hAnsi="宋体"/>
          <w:color w:val="auto"/>
          <w:kern w:val="0"/>
          <w:sz w:val="24"/>
          <w:szCs w:val="20"/>
        </w:rPr>
      </w:pPr>
      <w:r>
        <w:rPr>
          <w:rFonts w:hint="eastAsia" w:ascii="宋体" w:hAnsi="宋体"/>
          <w:color w:val="auto"/>
          <w:kern w:val="0"/>
          <w:sz w:val="24"/>
          <w:szCs w:val="20"/>
        </w:rPr>
        <w:t>在商洽本合同时，双方澄清、确认并共同签字的补充文件、技术协议。</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合同范围和条件。本合同的范围和条件应与上述规定的合同文件内容相一致。</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货物（工程或服务）及数量。本合同所提供的货物（工程或服务）及数量详见招标文件的要求及乙方投标文件中的承诺。</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付款条件。本合同的付款条件按招标文件规定执行。</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合同金额。合同总金额见合同书，分项价格在乙方的投标报价表中有明确规定。</w:t>
      </w:r>
    </w:p>
    <w:p>
      <w:pPr>
        <w:numPr>
          <w:ilvl w:val="3"/>
          <w:numId w:val="1"/>
        </w:numPr>
        <w:tabs>
          <w:tab w:val="left" w:pos="854"/>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工期和交货（服务）地点。本合同中货物（工程或服务）的工期、交货（服务）地点在招标文件中有明确规定。</w:t>
      </w:r>
    </w:p>
    <w:p>
      <w:pPr>
        <w:numPr>
          <w:ilvl w:val="3"/>
          <w:numId w:val="1"/>
        </w:numPr>
        <w:tabs>
          <w:tab w:val="left" w:pos="980"/>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合同生效。本合同经甲、乙双方授权代表签字和加盖公章（或合同专用章）后生效。如招标申请公证的，合同需经公证机构公证后生效。</w:t>
      </w:r>
    </w:p>
    <w:p>
      <w:pPr>
        <w:numPr>
          <w:ilvl w:val="3"/>
          <w:numId w:val="1"/>
        </w:numPr>
        <w:tabs>
          <w:tab w:val="left" w:pos="980"/>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合同的份数。本合同正本一式</w:t>
      </w:r>
      <w:r>
        <w:rPr>
          <w:rFonts w:hint="eastAsia" w:ascii="宋体" w:hAnsi="宋体"/>
          <w:color w:val="auto"/>
          <w:kern w:val="0"/>
          <w:sz w:val="24"/>
          <w:szCs w:val="20"/>
          <w:u w:val="single"/>
        </w:rPr>
        <w:t>　</w:t>
      </w:r>
      <w:r>
        <w:rPr>
          <w:rFonts w:hint="eastAsia" w:ascii="宋体" w:hAnsi="宋体"/>
          <w:color w:val="auto"/>
          <w:kern w:val="0"/>
          <w:sz w:val="24"/>
          <w:szCs w:val="20"/>
        </w:rPr>
        <w:t>份，甲方执</w:t>
      </w:r>
      <w:r>
        <w:rPr>
          <w:rFonts w:hint="eastAsia" w:ascii="宋体" w:hAnsi="宋体"/>
          <w:color w:val="auto"/>
          <w:kern w:val="0"/>
          <w:sz w:val="24"/>
          <w:szCs w:val="20"/>
          <w:u w:val="single"/>
        </w:rPr>
        <w:t>　</w:t>
      </w:r>
      <w:r>
        <w:rPr>
          <w:rFonts w:hint="eastAsia" w:ascii="宋体" w:hAnsi="宋体"/>
          <w:color w:val="auto"/>
          <w:kern w:val="0"/>
          <w:sz w:val="24"/>
          <w:szCs w:val="20"/>
        </w:rPr>
        <w:t>份，乙方执</w:t>
      </w:r>
      <w:r>
        <w:rPr>
          <w:rFonts w:hint="eastAsia" w:ascii="宋体" w:hAnsi="宋体"/>
          <w:color w:val="auto"/>
          <w:kern w:val="0"/>
          <w:sz w:val="24"/>
          <w:szCs w:val="20"/>
          <w:u w:val="single"/>
        </w:rPr>
        <w:t>　</w:t>
      </w:r>
      <w:r>
        <w:rPr>
          <w:rFonts w:hint="eastAsia" w:ascii="宋体" w:hAnsi="宋体"/>
          <w:color w:val="auto"/>
          <w:kern w:val="0"/>
          <w:sz w:val="24"/>
          <w:szCs w:val="20"/>
        </w:rPr>
        <w:t>份；副本一式</w:t>
      </w:r>
      <w:r>
        <w:rPr>
          <w:rFonts w:hint="eastAsia" w:ascii="宋体" w:hAnsi="宋体"/>
          <w:color w:val="auto"/>
          <w:kern w:val="0"/>
          <w:sz w:val="24"/>
          <w:szCs w:val="20"/>
          <w:u w:val="single"/>
        </w:rPr>
        <w:t>　</w:t>
      </w:r>
      <w:r>
        <w:rPr>
          <w:rFonts w:hint="eastAsia" w:ascii="宋体" w:hAnsi="宋体"/>
          <w:color w:val="auto"/>
          <w:kern w:val="0"/>
          <w:sz w:val="24"/>
          <w:szCs w:val="20"/>
        </w:rPr>
        <w:t>份，甲方执</w:t>
      </w:r>
      <w:r>
        <w:rPr>
          <w:rFonts w:hint="eastAsia" w:ascii="宋体" w:hAnsi="宋体"/>
          <w:color w:val="auto"/>
          <w:kern w:val="0"/>
          <w:sz w:val="24"/>
          <w:szCs w:val="20"/>
          <w:u w:val="single"/>
        </w:rPr>
        <w:t>　</w:t>
      </w:r>
      <w:r>
        <w:rPr>
          <w:rFonts w:hint="eastAsia" w:ascii="宋体" w:hAnsi="宋体"/>
          <w:color w:val="auto"/>
          <w:kern w:val="0"/>
          <w:sz w:val="24"/>
          <w:szCs w:val="20"/>
        </w:rPr>
        <w:t>份，乙方执</w:t>
      </w:r>
      <w:r>
        <w:rPr>
          <w:rFonts w:hint="eastAsia" w:ascii="宋体" w:hAnsi="宋体"/>
          <w:color w:val="auto"/>
          <w:kern w:val="0"/>
          <w:sz w:val="24"/>
          <w:szCs w:val="20"/>
          <w:u w:val="single"/>
        </w:rPr>
        <w:t>　</w:t>
      </w:r>
      <w:r>
        <w:rPr>
          <w:rFonts w:hint="eastAsia" w:ascii="宋体" w:hAnsi="宋体"/>
          <w:color w:val="auto"/>
          <w:kern w:val="0"/>
          <w:sz w:val="24"/>
          <w:szCs w:val="20"/>
        </w:rPr>
        <w:t>份。</w:t>
      </w:r>
    </w:p>
    <w:p>
      <w:pPr>
        <w:numPr>
          <w:ilvl w:val="3"/>
          <w:numId w:val="1"/>
        </w:numPr>
        <w:tabs>
          <w:tab w:val="left" w:pos="980"/>
        </w:tabs>
        <w:autoSpaceDE w:val="0"/>
        <w:autoSpaceDN w:val="0"/>
        <w:spacing w:before="79" w:beforeLines="25" w:line="360" w:lineRule="auto"/>
        <w:ind w:left="11" w:firstLine="478" w:firstLineChars="199"/>
        <w:contextualSpacing/>
        <w:rPr>
          <w:rFonts w:ascii="宋体" w:hAnsi="宋体"/>
          <w:color w:val="auto"/>
          <w:kern w:val="0"/>
          <w:sz w:val="24"/>
          <w:szCs w:val="20"/>
        </w:rPr>
      </w:pPr>
      <w:r>
        <w:rPr>
          <w:rFonts w:hint="eastAsia" w:ascii="宋体" w:hAnsi="宋体"/>
          <w:color w:val="auto"/>
          <w:kern w:val="0"/>
          <w:sz w:val="24"/>
          <w:szCs w:val="20"/>
        </w:rPr>
        <w:t>合同的失效。本合同在合同价款全部结清后失效。</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甲　　方：</w:t>
      </w:r>
      <w:r>
        <w:rPr>
          <w:rFonts w:hint="eastAsia" w:ascii="宋体" w:hAnsi="宋体"/>
          <w:color w:val="auto"/>
          <w:kern w:val="0"/>
          <w:sz w:val="24"/>
          <w:szCs w:val="20"/>
        </w:rPr>
        <w:tab/>
      </w:r>
      <w:r>
        <w:rPr>
          <w:rFonts w:hint="eastAsia" w:ascii="宋体" w:hAnsi="宋体"/>
          <w:color w:val="auto"/>
          <w:kern w:val="0"/>
          <w:sz w:val="24"/>
          <w:szCs w:val="20"/>
        </w:rPr>
        <w:t xml:space="preserve">                         乙　　方：</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单位名称（盖章）：</w:t>
      </w:r>
      <w:r>
        <w:rPr>
          <w:rFonts w:hint="eastAsia" w:ascii="宋体" w:hAnsi="宋体"/>
          <w:color w:val="auto"/>
          <w:kern w:val="0"/>
          <w:sz w:val="24"/>
          <w:szCs w:val="20"/>
        </w:rPr>
        <w:tab/>
      </w:r>
      <w:r>
        <w:rPr>
          <w:rFonts w:hint="eastAsia" w:ascii="宋体" w:hAnsi="宋体"/>
          <w:color w:val="auto"/>
          <w:kern w:val="0"/>
          <w:sz w:val="24"/>
          <w:szCs w:val="20"/>
        </w:rPr>
        <w:t xml:space="preserve"> 单位名称（盖章）：</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单位地址：</w:t>
      </w:r>
      <w:r>
        <w:rPr>
          <w:rFonts w:hint="eastAsia" w:ascii="宋体" w:hAnsi="宋体"/>
          <w:color w:val="auto"/>
          <w:kern w:val="0"/>
          <w:sz w:val="24"/>
          <w:szCs w:val="20"/>
        </w:rPr>
        <w:tab/>
      </w:r>
      <w:r>
        <w:rPr>
          <w:rFonts w:hint="eastAsia" w:ascii="宋体" w:hAnsi="宋体"/>
          <w:color w:val="auto"/>
          <w:kern w:val="0"/>
          <w:sz w:val="24"/>
          <w:szCs w:val="20"/>
        </w:rPr>
        <w:t xml:space="preserve">                         单位地址：</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法人代表授权人(签字)：             </w:t>
      </w:r>
      <w:r>
        <w:rPr>
          <w:rFonts w:hint="eastAsia" w:ascii="宋体" w:hAnsi="宋体"/>
          <w:color w:val="auto"/>
          <w:kern w:val="0"/>
          <w:sz w:val="24"/>
          <w:szCs w:val="20"/>
        </w:rPr>
        <w:tab/>
      </w:r>
      <w:r>
        <w:rPr>
          <w:rFonts w:hint="eastAsia" w:ascii="宋体" w:hAnsi="宋体"/>
          <w:color w:val="auto"/>
          <w:kern w:val="0"/>
          <w:sz w:val="24"/>
          <w:szCs w:val="20"/>
        </w:rPr>
        <w:t>法人代表授权人(签字)：</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联 系 人：</w:t>
      </w:r>
      <w:r>
        <w:rPr>
          <w:rFonts w:hint="eastAsia" w:ascii="宋体" w:hAnsi="宋体"/>
          <w:color w:val="auto"/>
          <w:kern w:val="0"/>
          <w:sz w:val="24"/>
          <w:szCs w:val="20"/>
        </w:rPr>
        <w:tab/>
      </w:r>
      <w:r>
        <w:rPr>
          <w:rFonts w:hint="eastAsia" w:ascii="宋体" w:hAnsi="宋体"/>
          <w:color w:val="auto"/>
          <w:kern w:val="0"/>
          <w:sz w:val="24"/>
          <w:szCs w:val="20"/>
        </w:rPr>
        <w:t xml:space="preserve">                         联 系 人：</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电　　话：                         </w:t>
      </w:r>
      <w:r>
        <w:rPr>
          <w:rFonts w:hint="eastAsia" w:ascii="宋体" w:hAnsi="宋体"/>
          <w:color w:val="auto"/>
          <w:kern w:val="0"/>
          <w:sz w:val="24"/>
          <w:szCs w:val="20"/>
        </w:rPr>
        <w:tab/>
      </w:r>
      <w:r>
        <w:rPr>
          <w:rFonts w:hint="eastAsia" w:ascii="宋体" w:hAnsi="宋体"/>
          <w:color w:val="auto"/>
          <w:kern w:val="0"/>
          <w:sz w:val="24"/>
          <w:szCs w:val="20"/>
        </w:rPr>
        <w:t>电　　话：</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传　　真：                         </w:t>
      </w:r>
      <w:r>
        <w:rPr>
          <w:rFonts w:hint="eastAsia" w:ascii="宋体" w:hAnsi="宋体"/>
          <w:color w:val="auto"/>
          <w:kern w:val="0"/>
          <w:sz w:val="24"/>
          <w:szCs w:val="20"/>
        </w:rPr>
        <w:tab/>
      </w:r>
      <w:r>
        <w:rPr>
          <w:rFonts w:hint="eastAsia" w:ascii="宋体" w:hAnsi="宋体"/>
          <w:color w:val="auto"/>
          <w:kern w:val="0"/>
          <w:sz w:val="24"/>
          <w:szCs w:val="20"/>
        </w:rPr>
        <w:t>传　　真：</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邮政编码：                         </w:t>
      </w:r>
      <w:r>
        <w:rPr>
          <w:rFonts w:hint="eastAsia" w:ascii="宋体" w:hAnsi="宋体"/>
          <w:color w:val="auto"/>
          <w:kern w:val="0"/>
          <w:sz w:val="24"/>
          <w:szCs w:val="20"/>
        </w:rPr>
        <w:tab/>
      </w:r>
      <w:r>
        <w:rPr>
          <w:rFonts w:hint="eastAsia" w:ascii="宋体" w:hAnsi="宋体"/>
          <w:color w:val="auto"/>
          <w:kern w:val="0"/>
          <w:sz w:val="24"/>
          <w:szCs w:val="20"/>
        </w:rPr>
        <w:t>邮政编码：</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开户银行：                         </w:t>
      </w:r>
      <w:r>
        <w:rPr>
          <w:rFonts w:hint="eastAsia" w:ascii="宋体" w:hAnsi="宋体"/>
          <w:color w:val="auto"/>
          <w:kern w:val="0"/>
          <w:sz w:val="24"/>
          <w:szCs w:val="20"/>
        </w:rPr>
        <w:tab/>
      </w:r>
      <w:r>
        <w:rPr>
          <w:rFonts w:hint="eastAsia" w:ascii="宋体" w:hAnsi="宋体"/>
          <w:color w:val="auto"/>
          <w:kern w:val="0"/>
          <w:sz w:val="24"/>
          <w:szCs w:val="20"/>
        </w:rPr>
        <w:t>开户银行：</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帐　　号：                         </w:t>
      </w:r>
      <w:r>
        <w:rPr>
          <w:rFonts w:hint="eastAsia" w:ascii="宋体" w:hAnsi="宋体"/>
          <w:color w:val="auto"/>
          <w:kern w:val="0"/>
          <w:sz w:val="24"/>
          <w:szCs w:val="20"/>
        </w:rPr>
        <w:tab/>
      </w:r>
      <w:r>
        <w:rPr>
          <w:rFonts w:hint="eastAsia" w:ascii="宋体" w:hAnsi="宋体"/>
          <w:color w:val="auto"/>
          <w:kern w:val="0"/>
          <w:sz w:val="24"/>
          <w:szCs w:val="20"/>
        </w:rPr>
        <w:t>帐　　号：</w:t>
      </w:r>
    </w:p>
    <w:p>
      <w:pPr>
        <w:spacing w:before="79" w:beforeLines="25" w:line="360" w:lineRule="auto"/>
        <w:ind w:firstLine="491" w:firstLineChars="204"/>
        <w:contextualSpacing/>
        <w:jc w:val="left"/>
        <w:rPr>
          <w:rFonts w:ascii="宋体" w:hAnsi="宋体"/>
          <w:color w:val="auto"/>
          <w:kern w:val="0"/>
          <w:sz w:val="24"/>
          <w:szCs w:val="20"/>
        </w:rPr>
      </w:pPr>
      <w:r>
        <w:rPr>
          <w:rFonts w:hint="eastAsia" w:ascii="宋体" w:hAnsi="宋体"/>
          <w:color w:val="auto"/>
          <w:kern w:val="0"/>
          <w:sz w:val="24"/>
          <w:szCs w:val="20"/>
        </w:rPr>
        <w:t xml:space="preserve">税　　号：                         </w:t>
      </w:r>
      <w:r>
        <w:rPr>
          <w:rFonts w:hint="eastAsia" w:ascii="宋体" w:hAnsi="宋体"/>
          <w:color w:val="auto"/>
          <w:kern w:val="0"/>
          <w:sz w:val="24"/>
          <w:szCs w:val="20"/>
        </w:rPr>
        <w:tab/>
      </w:r>
      <w:r>
        <w:rPr>
          <w:rFonts w:hint="eastAsia" w:ascii="宋体" w:hAnsi="宋体"/>
          <w:color w:val="auto"/>
          <w:kern w:val="0"/>
          <w:sz w:val="24"/>
          <w:szCs w:val="20"/>
        </w:rPr>
        <w:t>税　　号：</w:t>
      </w:r>
    </w:p>
    <w:p>
      <w:pPr>
        <w:rPr>
          <w:color w:val="auto"/>
        </w:rPr>
      </w:pPr>
      <w:r>
        <w:rPr>
          <w:color w:val="auto"/>
        </w:rPr>
        <w:br w:type="page"/>
      </w:r>
    </w:p>
    <w:p>
      <w:pPr>
        <w:pStyle w:val="3"/>
        <w:numPr>
          <w:ilvl w:val="0"/>
          <w:numId w:val="1"/>
        </w:numPr>
        <w:jc w:val="center"/>
        <w:rPr>
          <w:rFonts w:ascii="黑体" w:hAnsi="黑体" w:eastAsia="黑体"/>
          <w:b w:val="0"/>
          <w:bCs w:val="0"/>
          <w:color w:val="auto"/>
        </w:rPr>
      </w:pPr>
      <w:bookmarkStart w:id="68" w:name="_Toc494702264"/>
      <w:bookmarkStart w:id="69" w:name="_Toc494745311"/>
      <w:bookmarkStart w:id="70" w:name="_Toc494721094"/>
      <w:bookmarkStart w:id="71" w:name="_Toc13402"/>
      <w:bookmarkStart w:id="72" w:name="_Toc494664994"/>
      <w:bookmarkStart w:id="73" w:name="_Toc494665944"/>
      <w:bookmarkStart w:id="74" w:name="_Toc494665547"/>
      <w:r>
        <w:rPr>
          <w:rFonts w:hint="eastAsia" w:ascii="黑体" w:hAnsi="黑体" w:eastAsia="黑体"/>
          <w:b w:val="0"/>
          <w:bCs w:val="0"/>
          <w:color w:val="auto"/>
        </w:rPr>
        <w:t>投标文件格式（参考）</w:t>
      </w:r>
      <w:bookmarkEnd w:id="68"/>
      <w:bookmarkEnd w:id="69"/>
      <w:bookmarkEnd w:id="70"/>
      <w:bookmarkEnd w:id="71"/>
      <w:bookmarkEnd w:id="72"/>
      <w:bookmarkEnd w:id="73"/>
      <w:bookmarkEnd w:id="74"/>
    </w:p>
    <w:p>
      <w:pPr>
        <w:spacing w:after="792" w:afterLines="250"/>
        <w:jc w:val="center"/>
        <w:rPr>
          <w:rFonts w:ascii="黑体" w:hAnsi="黑体" w:eastAsia="黑体"/>
          <w:color w:val="auto"/>
          <w:sz w:val="96"/>
          <w:szCs w:val="96"/>
        </w:rPr>
      </w:pPr>
      <w:r>
        <w:rPr>
          <w:rFonts w:hint="eastAsia" w:ascii="黑体" w:hAnsi="黑体" w:eastAsia="黑体"/>
          <w:color w:val="auto"/>
          <w:sz w:val="96"/>
          <w:szCs w:val="96"/>
        </w:rPr>
        <w:t>潜江市政府采购</w:t>
      </w:r>
    </w:p>
    <w:p>
      <w:pPr>
        <w:spacing w:after="634" w:afterLines="200"/>
        <w:jc w:val="center"/>
        <w:rPr>
          <w:rFonts w:ascii="黑体" w:hAnsi="黑体" w:eastAsia="黑体"/>
          <w:color w:val="auto"/>
          <w:sz w:val="72"/>
          <w:szCs w:val="72"/>
        </w:rPr>
      </w:pPr>
      <w:r>
        <w:rPr>
          <w:rFonts w:hint="eastAsia" w:ascii="黑体" w:hAnsi="黑体" w:eastAsia="黑体"/>
          <w:color w:val="auto"/>
          <w:sz w:val="72"/>
          <w:szCs w:val="72"/>
        </w:rPr>
        <w:t>投 标 文 件</w:t>
      </w:r>
    </w:p>
    <w:p>
      <w:pPr>
        <w:pStyle w:val="4"/>
        <w:spacing w:before="340" w:after="480" w:line="360" w:lineRule="auto"/>
        <w:jc w:val="center"/>
        <w:rPr>
          <w:rFonts w:ascii="宋体" w:hAnsi="宋体"/>
          <w:b w:val="0"/>
          <w:bCs w:val="0"/>
          <w:color w:val="auto"/>
          <w:sz w:val="44"/>
          <w:szCs w:val="44"/>
        </w:rPr>
      </w:pPr>
      <w:bookmarkStart w:id="75" w:name="_Toc494745312"/>
      <w:bookmarkStart w:id="76" w:name="_Toc494702265"/>
      <w:bookmarkStart w:id="77" w:name="_Toc494721095"/>
      <w:bookmarkStart w:id="78" w:name="_Toc494665548"/>
      <w:bookmarkStart w:id="79" w:name="_Toc494665945"/>
      <w:bookmarkStart w:id="80" w:name="_Toc494664995"/>
      <w:bookmarkStart w:id="81" w:name="_Toc19438"/>
      <w:r>
        <w:rPr>
          <w:rFonts w:hint="eastAsia" w:ascii="宋体" w:hAnsi="宋体"/>
          <w:b w:val="0"/>
          <w:bCs w:val="0"/>
          <w:color w:val="auto"/>
          <w:sz w:val="44"/>
          <w:szCs w:val="44"/>
        </w:rPr>
        <w:t>第一部分 资格证明文件</w:t>
      </w:r>
      <w:bookmarkEnd w:id="75"/>
      <w:bookmarkEnd w:id="76"/>
      <w:bookmarkEnd w:id="77"/>
      <w:bookmarkEnd w:id="78"/>
      <w:bookmarkEnd w:id="79"/>
      <w:bookmarkEnd w:id="80"/>
      <w:bookmarkEnd w:id="81"/>
    </w:p>
    <w:p>
      <w:pPr>
        <w:spacing w:line="360" w:lineRule="auto"/>
        <w:ind w:left="2060" w:leftChars="619" w:right="1306" w:rightChars="619" w:hanging="754" w:hangingChars="209"/>
        <w:rPr>
          <w:rFonts w:ascii="宋体" w:hAnsi="宋体"/>
          <w:color w:val="auto"/>
          <w:sz w:val="36"/>
          <w:szCs w:val="24"/>
        </w:rPr>
      </w:pPr>
      <w:r>
        <w:rPr>
          <w:rFonts w:hint="eastAsia" w:ascii="宋体" w:hAnsi="宋体"/>
          <w:color w:val="auto"/>
          <w:sz w:val="36"/>
          <w:szCs w:val="24"/>
        </w:rPr>
        <w:t>项目编号：</w:t>
      </w:r>
    </w:p>
    <w:p>
      <w:pPr>
        <w:spacing w:line="360" w:lineRule="auto"/>
        <w:ind w:left="2060" w:leftChars="619" w:right="1306" w:rightChars="619" w:hanging="754" w:hangingChars="209"/>
        <w:rPr>
          <w:rFonts w:ascii="宋体" w:hAnsi="宋体"/>
          <w:color w:val="auto"/>
          <w:sz w:val="36"/>
          <w:szCs w:val="24"/>
        </w:rPr>
      </w:pPr>
      <w:r>
        <w:rPr>
          <w:rFonts w:hint="eastAsia" w:ascii="宋体" w:hAnsi="宋体"/>
          <w:color w:val="auto"/>
          <w:sz w:val="36"/>
          <w:szCs w:val="24"/>
        </w:rPr>
        <w:t>项目名称：</w:t>
      </w:r>
    </w:p>
    <w:p>
      <w:pPr>
        <w:spacing w:line="360" w:lineRule="auto"/>
        <w:ind w:left="2060" w:leftChars="619" w:right="1306" w:rightChars="619" w:hanging="754" w:hangingChars="209"/>
        <w:rPr>
          <w:rFonts w:ascii="宋体" w:hAnsi="宋体"/>
          <w:color w:val="auto"/>
          <w:sz w:val="36"/>
          <w:szCs w:val="36"/>
        </w:rPr>
      </w:pPr>
      <w:r>
        <w:rPr>
          <w:rFonts w:hint="eastAsia" w:ascii="宋体" w:hAnsi="宋体"/>
          <w:color w:val="auto"/>
          <w:sz w:val="36"/>
          <w:szCs w:val="24"/>
        </w:rPr>
        <w:t>招标内容：</w:t>
      </w:r>
    </w:p>
    <w:p>
      <w:pPr>
        <w:spacing w:after="1585" w:afterLines="500" w:line="360" w:lineRule="auto"/>
        <w:ind w:left="2353" w:leftChars="271" w:right="571" w:rightChars="271" w:hanging="1782" w:hangingChars="494"/>
        <w:jc w:val="center"/>
        <w:rPr>
          <w:rFonts w:ascii="宋体" w:hAnsi="宋体"/>
          <w:color w:val="auto"/>
          <w:sz w:val="36"/>
          <w:szCs w:val="36"/>
        </w:rPr>
      </w:pPr>
    </w:p>
    <w:p>
      <w:pPr>
        <w:spacing w:line="360" w:lineRule="auto"/>
        <w:ind w:left="1979" w:leftChars="613" w:right="1293" w:rightChars="613" w:hanging="686" w:hangingChars="214"/>
        <w:rPr>
          <w:rFonts w:ascii="宋体" w:hAnsi="宋体"/>
          <w:color w:val="auto"/>
          <w:sz w:val="32"/>
          <w:szCs w:val="32"/>
        </w:rPr>
      </w:pPr>
      <w:r>
        <w:rPr>
          <w:rFonts w:hint="eastAsia" w:ascii="宋体" w:hAnsi="宋体"/>
          <w:color w:val="auto"/>
          <w:sz w:val="32"/>
          <w:szCs w:val="32"/>
        </w:rPr>
        <w:t>投标人（盖章）：</w:t>
      </w:r>
    </w:p>
    <w:p>
      <w:pPr>
        <w:spacing w:line="360" w:lineRule="auto"/>
        <w:ind w:left="1979" w:leftChars="613" w:right="1293" w:rightChars="613" w:hanging="686" w:hangingChars="214"/>
        <w:rPr>
          <w:rFonts w:ascii="宋体" w:hAnsi="宋体"/>
          <w:color w:val="auto"/>
          <w:sz w:val="32"/>
          <w:szCs w:val="32"/>
        </w:rPr>
      </w:pPr>
      <w:r>
        <w:rPr>
          <w:rFonts w:hint="eastAsia" w:ascii="宋体" w:hAnsi="宋体"/>
          <w:color w:val="auto"/>
          <w:sz w:val="32"/>
          <w:szCs w:val="32"/>
        </w:rPr>
        <w:t>投标人授权代表（签字）：</w:t>
      </w:r>
    </w:p>
    <w:p>
      <w:pPr>
        <w:spacing w:before="317" w:beforeLines="100" w:after="317" w:afterLines="100" w:line="360" w:lineRule="auto"/>
        <w:ind w:left="2264" w:leftChars="466" w:right="466" w:hanging="1281" w:hangingChars="355"/>
        <w:jc w:val="center"/>
        <w:rPr>
          <w:rFonts w:ascii="宋体" w:hAnsi="宋体"/>
          <w:color w:val="auto"/>
          <w:sz w:val="36"/>
          <w:szCs w:val="36"/>
        </w:rPr>
      </w:pPr>
      <w:r>
        <w:rPr>
          <w:rFonts w:hint="eastAsia" w:ascii="宋体" w:hAnsi="宋体"/>
          <w:color w:val="auto"/>
          <w:sz w:val="36"/>
          <w:szCs w:val="36"/>
        </w:rPr>
        <w:t>二0二  年 月</w:t>
      </w:r>
    </w:p>
    <w:p>
      <w:pPr>
        <w:rPr>
          <w:rFonts w:ascii="宋体" w:hAnsi="宋体"/>
          <w:b/>
          <w:bCs/>
          <w:color w:val="auto"/>
          <w:sz w:val="30"/>
          <w:szCs w:val="30"/>
        </w:rPr>
      </w:pPr>
      <w:r>
        <w:rPr>
          <w:color w:val="auto"/>
        </w:rPr>
        <w:br w:type="page"/>
      </w:r>
      <w:r>
        <w:rPr>
          <w:rFonts w:hint="eastAsia" w:ascii="宋体" w:hAnsi="宋体"/>
          <w:b/>
          <w:bCs/>
          <w:color w:val="auto"/>
          <w:sz w:val="30"/>
          <w:szCs w:val="30"/>
        </w:rPr>
        <w:t>格式（参考）说明：</w:t>
      </w:r>
    </w:p>
    <w:p>
      <w:pPr>
        <w:spacing w:before="120" w:after="120" w:line="578" w:lineRule="auto"/>
        <w:jc w:val="center"/>
        <w:rPr>
          <w:rFonts w:ascii="黑体" w:hAnsi="黑体" w:eastAsia="黑体"/>
          <w:bCs/>
          <w:color w:val="auto"/>
          <w:sz w:val="36"/>
          <w:szCs w:val="36"/>
        </w:rPr>
      </w:pPr>
      <w:bookmarkStart w:id="82" w:name="_Toc494702266"/>
      <w:bookmarkStart w:id="83" w:name="_Toc494721096"/>
      <w:bookmarkStart w:id="84" w:name="_Toc494665946"/>
      <w:bookmarkStart w:id="85" w:name="_Toc494665549"/>
      <w:bookmarkStart w:id="86" w:name="_Toc494745313"/>
      <w:bookmarkStart w:id="87" w:name="_Toc494664996"/>
      <w:r>
        <w:rPr>
          <w:rFonts w:hint="eastAsia" w:ascii="黑体" w:hAnsi="黑体" w:eastAsia="黑体"/>
          <w:bCs/>
          <w:color w:val="auto"/>
          <w:sz w:val="36"/>
          <w:szCs w:val="36"/>
        </w:rPr>
        <w:t>资格证明文件组成</w:t>
      </w:r>
      <w:bookmarkEnd w:id="82"/>
      <w:bookmarkEnd w:id="83"/>
      <w:bookmarkEnd w:id="84"/>
      <w:bookmarkEnd w:id="85"/>
      <w:bookmarkEnd w:id="86"/>
      <w:bookmarkEnd w:id="87"/>
    </w:p>
    <w:p>
      <w:pPr>
        <w:autoSpaceDE w:val="0"/>
        <w:autoSpaceDN w:val="0"/>
        <w:adjustRightInd w:val="0"/>
        <w:spacing w:before="156" w:beforeLines="50" w:after="156" w:afterLines="50" w:line="360" w:lineRule="auto"/>
        <w:ind w:firstLine="482" w:firstLineChars="200"/>
        <w:rPr>
          <w:rFonts w:hint="eastAsia" w:ascii="宋体" w:hAnsi="宋体" w:eastAsia="宋体" w:cs="宋体"/>
          <w:kern w:val="0"/>
          <w:sz w:val="24"/>
          <w:szCs w:val="32"/>
        </w:rPr>
      </w:pPr>
      <w:r>
        <w:rPr>
          <w:rFonts w:hint="eastAsia" w:ascii="宋体" w:hAnsi="宋体" w:eastAsia="宋体" w:cs="宋体"/>
          <w:kern w:val="0"/>
          <w:sz w:val="24"/>
          <w:szCs w:val="32"/>
        </w:rPr>
        <w:t>由各投标人根据参考格式要求自行编写。目录清晰、内容详尽、易于理解和审查，与第二部分、第三部分文件页码连续。具体内容应包括但不限于以下内容：</w:t>
      </w:r>
    </w:p>
    <w:p>
      <w:pPr>
        <w:numPr>
          <w:ilvl w:val="0"/>
          <w:numId w:val="43"/>
        </w:numPr>
        <w:autoSpaceDE w:val="0"/>
        <w:autoSpaceDN w:val="0"/>
        <w:adjustRightInd w:val="0"/>
        <w:spacing w:line="360" w:lineRule="auto"/>
        <w:ind w:left="490" w:hanging="370"/>
        <w:rPr>
          <w:rFonts w:hint="eastAsia" w:ascii="宋体" w:hAnsi="宋体" w:eastAsia="宋体" w:cs="宋体"/>
          <w:kern w:val="0"/>
          <w:sz w:val="24"/>
          <w:szCs w:val="32"/>
        </w:rPr>
      </w:pPr>
      <w:r>
        <w:rPr>
          <w:rFonts w:hint="eastAsia" w:ascii="宋体" w:hAnsi="宋体" w:eastAsia="宋体" w:cs="宋体"/>
          <w:kern w:val="0"/>
          <w:sz w:val="24"/>
          <w:szCs w:val="32"/>
        </w:rPr>
        <w:t>资格证明文件目录</w:t>
      </w:r>
      <w:r>
        <w:rPr>
          <w:rFonts w:hint="eastAsia" w:ascii="宋体" w:hAnsi="宋体" w:eastAsia="宋体" w:cs="宋体"/>
          <w:b/>
          <w:kern w:val="0"/>
          <w:sz w:val="24"/>
          <w:szCs w:val="32"/>
        </w:rPr>
        <w:t>（目录应涵盖下述所有资料）</w:t>
      </w:r>
      <w:r>
        <w:rPr>
          <w:rFonts w:hint="eastAsia" w:ascii="宋体" w:hAnsi="宋体" w:eastAsia="宋体" w:cs="宋体"/>
          <w:kern w:val="0"/>
          <w:sz w:val="24"/>
          <w:szCs w:val="32"/>
        </w:rPr>
        <w:t>；</w:t>
      </w:r>
    </w:p>
    <w:p>
      <w:pPr>
        <w:numPr>
          <w:ilvl w:val="0"/>
          <w:numId w:val="43"/>
        </w:numPr>
        <w:autoSpaceDE w:val="0"/>
        <w:autoSpaceDN w:val="0"/>
        <w:adjustRightInd w:val="0"/>
        <w:spacing w:line="360" w:lineRule="auto"/>
        <w:ind w:left="490" w:hanging="370"/>
        <w:rPr>
          <w:rFonts w:hint="eastAsia" w:ascii="宋体" w:hAnsi="宋体" w:eastAsia="宋体" w:cs="宋体"/>
          <w:b/>
          <w:kern w:val="0"/>
          <w:sz w:val="24"/>
          <w:szCs w:val="32"/>
        </w:rPr>
      </w:pPr>
      <w:r>
        <w:rPr>
          <w:rFonts w:hint="eastAsia" w:ascii="宋体" w:hAnsi="宋体" w:eastAsia="宋体" w:cs="宋体"/>
          <w:kern w:val="0"/>
          <w:sz w:val="24"/>
          <w:szCs w:val="32"/>
        </w:rPr>
        <w:t>应具备《政府采购法》第二十二条第一款规定的条件，提供下列材料；</w:t>
      </w:r>
    </w:p>
    <w:p>
      <w:pPr>
        <w:numPr>
          <w:ilvl w:val="0"/>
          <w:numId w:val="44"/>
        </w:numPr>
        <w:autoSpaceDE w:val="0"/>
        <w:autoSpaceDN w:val="0"/>
        <w:adjustRightInd w:val="0"/>
        <w:spacing w:line="360" w:lineRule="auto"/>
        <w:ind w:left="606" w:hanging="493"/>
        <w:rPr>
          <w:rFonts w:hint="eastAsia" w:ascii="宋体" w:hAnsi="宋体" w:eastAsia="宋体" w:cs="宋体"/>
          <w:kern w:val="0"/>
          <w:sz w:val="24"/>
          <w:szCs w:val="32"/>
        </w:rPr>
      </w:pPr>
      <w:r>
        <w:rPr>
          <w:rFonts w:hint="eastAsia" w:ascii="宋体" w:hAnsi="宋体" w:eastAsia="宋体" w:cs="宋体"/>
          <w:kern w:val="0"/>
          <w:sz w:val="24"/>
          <w:szCs w:val="32"/>
        </w:rPr>
        <w:t>法人或者其他组织的营业执照等证明文件，自然人的身份证明</w:t>
      </w:r>
      <w:r>
        <w:rPr>
          <w:rFonts w:hint="eastAsia" w:ascii="宋体" w:hAnsi="宋体" w:eastAsia="宋体" w:cs="宋体"/>
          <w:sz w:val="24"/>
          <w:szCs w:val="24"/>
        </w:rPr>
        <w:t>（投标人根据自身情况提供对应的证明材料）</w:t>
      </w:r>
      <w:r>
        <w:rPr>
          <w:rFonts w:hint="eastAsia" w:ascii="宋体" w:hAnsi="宋体" w:eastAsia="宋体" w:cs="宋体"/>
          <w:kern w:val="0"/>
          <w:sz w:val="24"/>
          <w:szCs w:val="32"/>
        </w:rPr>
        <w:t>：</w:t>
      </w:r>
    </w:p>
    <w:p>
      <w:pPr>
        <w:numPr>
          <w:ilvl w:val="0"/>
          <w:numId w:val="45"/>
        </w:numPr>
        <w:spacing w:line="360" w:lineRule="auto"/>
        <w:ind w:left="986" w:hanging="720"/>
        <w:rPr>
          <w:rFonts w:hint="eastAsia" w:ascii="宋体" w:hAnsi="宋体" w:eastAsia="宋体" w:cs="宋体"/>
          <w:b/>
          <w:sz w:val="24"/>
          <w:szCs w:val="20"/>
          <w:lang w:val="zh-CN"/>
        </w:rPr>
      </w:pPr>
      <w:r>
        <w:rPr>
          <w:rFonts w:hint="eastAsia" w:ascii="宋体" w:hAnsi="宋体" w:eastAsia="宋体" w:cs="宋体"/>
          <w:b/>
          <w:sz w:val="24"/>
          <w:szCs w:val="20"/>
          <w:lang w:val="zh-CN"/>
        </w:rPr>
        <w:t>法人</w:t>
      </w:r>
    </w:p>
    <w:p>
      <w:pPr>
        <w:pStyle w:val="94"/>
        <w:numPr>
          <w:ilvl w:val="0"/>
          <w:numId w:val="46"/>
        </w:numPr>
        <w:spacing w:line="360" w:lineRule="auto"/>
        <w:ind w:left="902" w:hanging="482" w:firstLineChars="0"/>
        <w:rPr>
          <w:rFonts w:hint="eastAsia" w:ascii="宋体" w:hAnsi="宋体" w:eastAsia="宋体" w:cs="宋体"/>
          <w:sz w:val="24"/>
          <w:szCs w:val="24"/>
        </w:rPr>
      </w:pPr>
      <w:r>
        <w:rPr>
          <w:rFonts w:hint="eastAsia" w:ascii="宋体" w:hAnsi="宋体" w:eastAsia="宋体" w:cs="宋体"/>
          <w:b/>
          <w:sz w:val="24"/>
          <w:szCs w:val="24"/>
        </w:rPr>
        <w:t>企业法人（包括合伙企业）：</w:t>
      </w:r>
      <w:r>
        <w:rPr>
          <w:rFonts w:hint="eastAsia" w:ascii="宋体" w:hAnsi="宋体" w:eastAsia="宋体" w:cs="宋体"/>
          <w:sz w:val="24"/>
          <w:szCs w:val="24"/>
        </w:rPr>
        <w:t>提供工商部门注册的有效“企业法人营业执照”或“营业执照”；</w:t>
      </w:r>
    </w:p>
    <w:p>
      <w:pPr>
        <w:pStyle w:val="94"/>
        <w:numPr>
          <w:ilvl w:val="0"/>
          <w:numId w:val="46"/>
        </w:numPr>
        <w:spacing w:line="360" w:lineRule="auto"/>
        <w:ind w:left="902" w:hanging="482" w:firstLineChars="0"/>
        <w:rPr>
          <w:rFonts w:hint="eastAsia" w:ascii="宋体" w:hAnsi="宋体" w:eastAsia="宋体" w:cs="宋体"/>
          <w:sz w:val="24"/>
          <w:szCs w:val="24"/>
        </w:rPr>
      </w:pPr>
      <w:r>
        <w:rPr>
          <w:rFonts w:hint="eastAsia" w:ascii="宋体" w:hAnsi="宋体" w:eastAsia="宋体" w:cs="宋体"/>
          <w:b/>
          <w:sz w:val="24"/>
          <w:szCs w:val="24"/>
        </w:rPr>
        <w:t>事业单位法人：</w:t>
      </w:r>
      <w:r>
        <w:rPr>
          <w:rFonts w:hint="eastAsia" w:ascii="宋体" w:hAnsi="宋体" w:eastAsia="宋体" w:cs="宋体"/>
          <w:sz w:val="24"/>
          <w:szCs w:val="24"/>
        </w:rPr>
        <w:t>提供有效的“事业单位法人证书”。</w:t>
      </w:r>
    </w:p>
    <w:p>
      <w:pPr>
        <w:numPr>
          <w:ilvl w:val="0"/>
          <w:numId w:val="45"/>
        </w:numPr>
        <w:spacing w:line="360" w:lineRule="auto"/>
        <w:ind w:left="986" w:hanging="720"/>
        <w:rPr>
          <w:rFonts w:hint="eastAsia" w:ascii="宋体" w:hAnsi="宋体" w:eastAsia="宋体" w:cs="宋体"/>
          <w:b/>
          <w:sz w:val="24"/>
          <w:szCs w:val="20"/>
          <w:lang w:val="zh-CN"/>
        </w:rPr>
      </w:pPr>
      <w:r>
        <w:rPr>
          <w:rFonts w:hint="eastAsia" w:ascii="宋体" w:hAnsi="宋体" w:eastAsia="宋体" w:cs="宋体"/>
          <w:b/>
          <w:sz w:val="24"/>
          <w:szCs w:val="20"/>
          <w:lang w:val="zh-CN"/>
        </w:rPr>
        <w:t>其他组织</w:t>
      </w:r>
    </w:p>
    <w:p>
      <w:pPr>
        <w:pStyle w:val="94"/>
        <w:numPr>
          <w:ilvl w:val="0"/>
          <w:numId w:val="47"/>
        </w:numPr>
        <w:spacing w:line="360" w:lineRule="auto"/>
        <w:ind w:left="902" w:hanging="482" w:firstLineChars="0"/>
        <w:rPr>
          <w:rFonts w:hint="eastAsia" w:ascii="宋体" w:hAnsi="宋体" w:eastAsia="宋体" w:cs="宋体"/>
          <w:sz w:val="24"/>
          <w:szCs w:val="24"/>
        </w:rPr>
      </w:pPr>
      <w:r>
        <w:rPr>
          <w:rFonts w:hint="eastAsia" w:ascii="宋体" w:hAnsi="宋体" w:eastAsia="宋体" w:cs="宋体"/>
          <w:b/>
          <w:sz w:val="24"/>
          <w:szCs w:val="24"/>
        </w:rPr>
        <w:t>非企业专业服务机构：</w:t>
      </w:r>
      <w:r>
        <w:rPr>
          <w:rFonts w:hint="eastAsia" w:ascii="宋体" w:hAnsi="宋体" w:eastAsia="宋体" w:cs="宋体"/>
          <w:sz w:val="24"/>
          <w:szCs w:val="24"/>
        </w:rPr>
        <w:t>提供执业许可证等证明文件；</w:t>
      </w:r>
    </w:p>
    <w:p>
      <w:pPr>
        <w:pStyle w:val="94"/>
        <w:numPr>
          <w:ilvl w:val="0"/>
          <w:numId w:val="47"/>
        </w:numPr>
        <w:spacing w:line="360" w:lineRule="auto"/>
        <w:ind w:left="902" w:hanging="482" w:firstLineChars="0"/>
        <w:rPr>
          <w:rFonts w:hint="eastAsia" w:ascii="宋体" w:hAnsi="宋体" w:eastAsia="宋体" w:cs="宋体"/>
          <w:sz w:val="24"/>
          <w:szCs w:val="24"/>
        </w:rPr>
      </w:pPr>
      <w:r>
        <w:rPr>
          <w:rFonts w:hint="eastAsia" w:ascii="宋体" w:hAnsi="宋体" w:eastAsia="宋体" w:cs="宋体"/>
          <w:b/>
          <w:sz w:val="24"/>
          <w:szCs w:val="24"/>
        </w:rPr>
        <w:t>个体工商户：</w:t>
      </w:r>
      <w:r>
        <w:rPr>
          <w:rFonts w:hint="eastAsia" w:ascii="宋体" w:hAnsi="宋体" w:eastAsia="宋体" w:cs="宋体"/>
          <w:sz w:val="24"/>
          <w:szCs w:val="24"/>
        </w:rPr>
        <w:t>提供有效的“个体工商户营业执照”。</w:t>
      </w:r>
    </w:p>
    <w:p>
      <w:pPr>
        <w:numPr>
          <w:ilvl w:val="0"/>
          <w:numId w:val="45"/>
        </w:numPr>
        <w:spacing w:line="360" w:lineRule="auto"/>
        <w:ind w:left="986" w:hanging="720"/>
        <w:rPr>
          <w:rFonts w:hint="eastAsia" w:ascii="宋体" w:hAnsi="宋体" w:eastAsia="宋体" w:cs="宋体"/>
          <w:sz w:val="24"/>
          <w:szCs w:val="20"/>
          <w:lang w:val="zh-CN"/>
        </w:rPr>
      </w:pPr>
      <w:r>
        <w:rPr>
          <w:rFonts w:hint="eastAsia" w:ascii="宋体" w:hAnsi="宋体" w:eastAsia="宋体" w:cs="宋体"/>
          <w:b/>
          <w:sz w:val="24"/>
          <w:szCs w:val="20"/>
          <w:lang w:val="zh-CN"/>
        </w:rPr>
        <w:t>自然人：</w:t>
      </w:r>
      <w:r>
        <w:rPr>
          <w:rFonts w:hint="eastAsia" w:ascii="宋体" w:hAnsi="宋体" w:eastAsia="宋体" w:cs="宋体"/>
          <w:sz w:val="24"/>
          <w:szCs w:val="20"/>
          <w:lang w:val="zh-CN"/>
        </w:rPr>
        <w:t>提供有效的自然人身份证明。（仅限中国公民）</w:t>
      </w:r>
    </w:p>
    <w:p>
      <w:pPr>
        <w:numPr>
          <w:ilvl w:val="0"/>
          <w:numId w:val="44"/>
        </w:numPr>
        <w:autoSpaceDE w:val="0"/>
        <w:autoSpaceDN w:val="0"/>
        <w:adjustRightInd w:val="0"/>
        <w:spacing w:line="360" w:lineRule="auto"/>
        <w:ind w:left="606" w:hanging="493"/>
        <w:rPr>
          <w:rFonts w:hint="eastAsia" w:ascii="宋体" w:hAnsi="宋体" w:eastAsia="宋体" w:cs="宋体"/>
          <w:sz w:val="24"/>
          <w:szCs w:val="24"/>
        </w:rPr>
      </w:pPr>
      <w:r>
        <w:rPr>
          <w:rFonts w:hint="eastAsia" w:ascii="宋体" w:hAnsi="宋体" w:eastAsia="宋体" w:cs="宋体"/>
          <w:kern w:val="0"/>
          <w:sz w:val="24"/>
          <w:szCs w:val="32"/>
        </w:rPr>
        <w:t>财务状况报告，依法缴纳税收和社会保障资金的相关材料</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sz w:val="24"/>
          <w:szCs w:val="20"/>
          <w:lang w:val="zh-CN"/>
        </w:rPr>
        <w:t>应提交“</w:t>
      </w:r>
      <w:r>
        <w:rPr>
          <w:rFonts w:hint="eastAsia" w:ascii="宋体" w:hAnsi="宋体" w:eastAsia="宋体" w:cs="宋体"/>
          <w:sz w:val="24"/>
          <w:szCs w:val="24"/>
        </w:rPr>
        <w:t>财务状况报告，依法缴纳税收和社会保障资金的</w:t>
      </w:r>
      <w:r>
        <w:rPr>
          <w:rFonts w:hint="eastAsia" w:ascii="宋体" w:hAnsi="宋体" w:eastAsia="宋体" w:cs="宋体"/>
          <w:b/>
          <w:sz w:val="24"/>
          <w:szCs w:val="24"/>
        </w:rPr>
        <w:t>声明</w:t>
      </w:r>
      <w:r>
        <w:rPr>
          <w:rFonts w:hint="eastAsia" w:ascii="宋体" w:hAnsi="宋体" w:eastAsia="宋体" w:cs="宋体"/>
          <w:b/>
          <w:sz w:val="24"/>
          <w:szCs w:val="20"/>
          <w:lang w:val="zh-CN"/>
        </w:rPr>
        <w:t>函</w:t>
      </w:r>
      <w:r>
        <w:rPr>
          <w:rFonts w:hint="eastAsia" w:ascii="宋体" w:hAnsi="宋体" w:eastAsia="宋体" w:cs="宋体"/>
          <w:sz w:val="24"/>
          <w:szCs w:val="20"/>
          <w:lang w:val="zh-CN"/>
        </w:rPr>
        <w:t>”。</w:t>
      </w:r>
      <w:r>
        <w:rPr>
          <w:rFonts w:hint="eastAsia" w:ascii="宋体" w:hAnsi="宋体" w:eastAsia="宋体" w:cs="宋体"/>
          <w:sz w:val="24"/>
          <w:szCs w:val="24"/>
        </w:rPr>
        <w:t xml:space="preserve"> </w:t>
      </w:r>
    </w:p>
    <w:p>
      <w:pPr>
        <w:numPr>
          <w:ilvl w:val="0"/>
          <w:numId w:val="44"/>
        </w:numPr>
        <w:autoSpaceDE w:val="0"/>
        <w:autoSpaceDN w:val="0"/>
        <w:adjustRightInd w:val="0"/>
        <w:spacing w:line="360" w:lineRule="auto"/>
        <w:ind w:left="606" w:hanging="493"/>
        <w:rPr>
          <w:rFonts w:hint="eastAsia" w:ascii="宋体" w:hAnsi="宋体" w:eastAsia="宋体" w:cs="宋体"/>
          <w:kern w:val="0"/>
          <w:sz w:val="24"/>
          <w:szCs w:val="32"/>
        </w:rPr>
      </w:pPr>
      <w:r>
        <w:rPr>
          <w:rFonts w:hint="eastAsia" w:ascii="宋体" w:hAnsi="宋体" w:eastAsia="宋体" w:cs="宋体"/>
          <w:kern w:val="0"/>
          <w:sz w:val="24"/>
          <w:szCs w:val="32"/>
        </w:rPr>
        <w:t>具备履行合同所必需的设备和专业技术能力的证明材料：</w:t>
      </w:r>
    </w:p>
    <w:p>
      <w:pPr>
        <w:numPr>
          <w:ilvl w:val="0"/>
          <w:numId w:val="48"/>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提供具备足够数量的设施设备的证明材料；</w:t>
      </w:r>
    </w:p>
    <w:p>
      <w:pPr>
        <w:numPr>
          <w:ilvl w:val="0"/>
          <w:numId w:val="48"/>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提供具备足够数量的技术人员的证明材料。</w:t>
      </w:r>
    </w:p>
    <w:p>
      <w:pPr>
        <w:numPr>
          <w:ilvl w:val="0"/>
          <w:numId w:val="44"/>
        </w:numPr>
        <w:autoSpaceDE w:val="0"/>
        <w:autoSpaceDN w:val="0"/>
        <w:adjustRightInd w:val="0"/>
        <w:spacing w:line="360" w:lineRule="auto"/>
        <w:ind w:left="606" w:hanging="493"/>
        <w:rPr>
          <w:rFonts w:hint="eastAsia" w:ascii="宋体" w:hAnsi="宋体" w:eastAsia="宋体" w:cs="宋体"/>
          <w:kern w:val="0"/>
          <w:sz w:val="24"/>
          <w:szCs w:val="32"/>
        </w:rPr>
      </w:pPr>
      <w:r>
        <w:rPr>
          <w:rFonts w:hint="eastAsia" w:ascii="宋体" w:hAnsi="宋体" w:eastAsia="宋体" w:cs="宋体"/>
          <w:kern w:val="0"/>
          <w:sz w:val="24"/>
          <w:szCs w:val="32"/>
        </w:rPr>
        <w:t>参加政府采购活动前三年内在经营活动中没有重大违法记录的声明：</w:t>
      </w:r>
    </w:p>
    <w:p>
      <w:pPr>
        <w:numPr>
          <w:ilvl w:val="0"/>
          <w:numId w:val="49"/>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应提交“无重大违法记录的</w:t>
      </w:r>
      <w:r>
        <w:rPr>
          <w:rFonts w:hint="eastAsia" w:ascii="宋体" w:hAnsi="宋体" w:eastAsia="宋体" w:cs="宋体"/>
          <w:b/>
          <w:sz w:val="24"/>
          <w:szCs w:val="20"/>
          <w:lang w:val="zh-CN"/>
        </w:rPr>
        <w:t>声明函</w:t>
      </w:r>
      <w:r>
        <w:rPr>
          <w:rFonts w:hint="eastAsia" w:ascii="宋体" w:hAnsi="宋体" w:eastAsia="宋体" w:cs="宋体"/>
          <w:sz w:val="24"/>
          <w:szCs w:val="20"/>
          <w:lang w:val="zh-CN"/>
        </w:rPr>
        <w:t>”；</w:t>
      </w:r>
    </w:p>
    <w:p>
      <w:pPr>
        <w:numPr>
          <w:ilvl w:val="0"/>
          <w:numId w:val="49"/>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政府采购法第二十二条第一款第五项所称重大违法记录，是指供应商因违法经营受到刑事处罚或者责令停产停业、吊销许可证或者执照、较大数额罚款等行政处罚；</w:t>
      </w:r>
    </w:p>
    <w:p>
      <w:pPr>
        <w:numPr>
          <w:ilvl w:val="0"/>
          <w:numId w:val="49"/>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按照财政部《关于规范政府采购行政处罚有关问题的通知》的规定，各级人民政府财政部门依法对参加政府采购活动的供应商作出的禁止参加政府采购活动等行政处罚决定在全国范围内生效。</w:t>
      </w:r>
    </w:p>
    <w:p>
      <w:pPr>
        <w:numPr>
          <w:ilvl w:val="0"/>
          <w:numId w:val="44"/>
        </w:numPr>
        <w:autoSpaceDE w:val="0"/>
        <w:autoSpaceDN w:val="0"/>
        <w:adjustRightInd w:val="0"/>
        <w:spacing w:line="360" w:lineRule="auto"/>
        <w:ind w:left="606" w:hanging="493"/>
        <w:rPr>
          <w:rFonts w:hint="eastAsia" w:ascii="宋体" w:hAnsi="宋体" w:eastAsia="宋体" w:cs="宋体"/>
          <w:kern w:val="0"/>
          <w:sz w:val="24"/>
          <w:szCs w:val="32"/>
        </w:rPr>
      </w:pPr>
      <w:r>
        <w:rPr>
          <w:rFonts w:hint="eastAsia" w:ascii="宋体" w:hAnsi="宋体" w:eastAsia="宋体" w:cs="宋体"/>
          <w:kern w:val="0"/>
          <w:sz w:val="24"/>
          <w:szCs w:val="32"/>
        </w:rPr>
        <w:t>具备法律、行政法规规定的其他条件的证明材料：</w:t>
      </w:r>
    </w:p>
    <w:p>
      <w:pPr>
        <w:numPr>
          <w:ilvl w:val="0"/>
          <w:numId w:val="50"/>
        </w:numPr>
        <w:spacing w:line="360" w:lineRule="auto"/>
        <w:ind w:left="986" w:hanging="720"/>
        <w:rPr>
          <w:rFonts w:hint="eastAsia" w:ascii="宋体" w:hAnsi="宋体" w:eastAsia="宋体" w:cs="宋体"/>
          <w:sz w:val="24"/>
          <w:szCs w:val="20"/>
          <w:lang w:val="zh-CN"/>
        </w:rPr>
      </w:pPr>
      <w:r>
        <w:rPr>
          <w:rFonts w:hint="eastAsia" w:ascii="宋体" w:hAnsi="宋体" w:eastAsia="宋体" w:cs="宋体"/>
          <w:sz w:val="24"/>
          <w:szCs w:val="20"/>
          <w:lang w:val="zh-CN"/>
        </w:rPr>
        <w:t>国家对生产和销售相关产品或提供相关服务有专门法律、行政法规规定的，则必须提供取得国家有关主管部门行政许可的证明材料。</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单位负责人为同一人或者存在直接控股、管理关系的不同投标人，不得参加本项目同一合同项下的政府采购活动。</w:t>
      </w:r>
    </w:p>
    <w:p>
      <w:pPr>
        <w:autoSpaceDE w:val="0"/>
        <w:autoSpaceDN w:val="0"/>
        <w:adjustRightInd w:val="0"/>
        <w:spacing w:line="360" w:lineRule="auto"/>
        <w:ind w:left="601" w:leftChars="285" w:firstLine="361" w:firstLineChars="150"/>
        <w:rPr>
          <w:rFonts w:hint="eastAsia" w:ascii="宋体" w:hAnsi="宋体" w:eastAsia="宋体" w:cs="宋体"/>
          <w:sz w:val="24"/>
          <w:szCs w:val="24"/>
        </w:rPr>
      </w:pPr>
      <w:r>
        <w:rPr>
          <w:rFonts w:hint="eastAsia" w:ascii="宋体" w:hAnsi="宋体" w:eastAsia="宋体" w:cs="宋体"/>
          <w:sz w:val="24"/>
          <w:szCs w:val="24"/>
        </w:rPr>
        <w:t>应提交“未与单位负责人为同一人或者存在直接控股、管理关系的其它投标人，参加同一合同项下的政府采购活动</w:t>
      </w:r>
      <w:r>
        <w:rPr>
          <w:rFonts w:hint="eastAsia" w:ascii="宋体" w:hAnsi="宋体" w:eastAsia="宋体" w:cs="宋体"/>
          <w:b/>
          <w:sz w:val="24"/>
          <w:szCs w:val="24"/>
        </w:rPr>
        <w:t>声明函</w:t>
      </w:r>
      <w:r>
        <w:rPr>
          <w:rFonts w:hint="eastAsia" w:ascii="宋体" w:hAnsi="宋体" w:eastAsia="宋体" w:cs="宋体"/>
          <w:sz w:val="24"/>
          <w:szCs w:val="24"/>
        </w:rPr>
        <w:t>”</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为本采购项目提供整体设计、规范编制或者项目管理、监理、检测等服务的，不得再参加本项目的其他招标采购活动。</w:t>
      </w:r>
    </w:p>
    <w:p>
      <w:pPr>
        <w:autoSpaceDE w:val="0"/>
        <w:autoSpaceDN w:val="0"/>
        <w:adjustRightInd w:val="0"/>
        <w:spacing w:line="360" w:lineRule="auto"/>
        <w:ind w:left="601" w:leftChars="285" w:firstLine="361" w:firstLineChars="150"/>
        <w:rPr>
          <w:rFonts w:hint="eastAsia" w:ascii="宋体" w:hAnsi="宋体" w:eastAsia="宋体" w:cs="宋体"/>
          <w:sz w:val="24"/>
          <w:szCs w:val="24"/>
        </w:rPr>
      </w:pPr>
      <w:r>
        <w:rPr>
          <w:rFonts w:hint="eastAsia" w:ascii="宋体" w:hAnsi="宋体" w:eastAsia="宋体" w:cs="宋体"/>
          <w:sz w:val="24"/>
          <w:szCs w:val="24"/>
        </w:rPr>
        <w:t>应提交“未为本采购项目提供整体设计、规范编制或者项目管理、监理、检测等服务的</w:t>
      </w:r>
      <w:r>
        <w:rPr>
          <w:rFonts w:hint="eastAsia" w:ascii="宋体" w:hAnsi="宋体" w:eastAsia="宋体" w:cs="宋体"/>
          <w:b/>
          <w:sz w:val="24"/>
          <w:szCs w:val="24"/>
        </w:rPr>
        <w:t>声明函</w:t>
      </w:r>
      <w:r>
        <w:rPr>
          <w:rFonts w:hint="eastAsia" w:ascii="宋体" w:hAnsi="宋体" w:eastAsia="宋体" w:cs="宋体"/>
          <w:sz w:val="24"/>
          <w:szCs w:val="24"/>
        </w:rPr>
        <w:t>”</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未被“信用中国”网站(www.creditchina.gov.cn)</w:t>
      </w:r>
      <w:r>
        <w:rPr>
          <w:rFonts w:hint="eastAsia" w:ascii="宋体" w:hAnsi="宋体" w:eastAsia="宋体" w:cs="宋体"/>
          <w:b/>
          <w:sz w:val="24"/>
          <w:szCs w:val="24"/>
          <w:lang w:val="zh-CN" w:eastAsia="zh-CN"/>
        </w:rPr>
        <w:t xml:space="preserve"> </w:t>
      </w:r>
      <w:r>
        <w:rPr>
          <w:rFonts w:hint="eastAsia" w:ascii="宋体" w:hAnsi="宋体" w:eastAsia="宋体" w:cs="宋体"/>
          <w:sz w:val="24"/>
          <w:szCs w:val="24"/>
        </w:rPr>
        <w:t>、“中国政府采购网”(www.ccgp.gov.cn)列入失信被执行人、重大税收违法案件当事人名单、政府采购严重违法失信行为记录名单。</w:t>
      </w:r>
    </w:p>
    <w:p>
      <w:pPr>
        <w:autoSpaceDE w:val="0"/>
        <w:autoSpaceDN w:val="0"/>
        <w:adjustRightInd w:val="0"/>
        <w:spacing w:line="360" w:lineRule="auto"/>
        <w:ind w:left="491" w:leftChars="233" w:firstLine="482" w:firstLineChars="200"/>
        <w:rPr>
          <w:rFonts w:hint="eastAsia" w:ascii="宋体" w:hAnsi="宋体" w:eastAsia="宋体" w:cs="宋体"/>
          <w:sz w:val="24"/>
          <w:szCs w:val="24"/>
        </w:rPr>
      </w:pPr>
      <w:r>
        <w:rPr>
          <w:rFonts w:hint="eastAsia" w:ascii="宋体" w:hAnsi="宋体" w:eastAsia="宋体" w:cs="宋体"/>
          <w:sz w:val="24"/>
          <w:szCs w:val="20"/>
          <w:lang w:val="zh-CN"/>
        </w:rPr>
        <w:t>应提交“未被列入记录名单的</w:t>
      </w:r>
      <w:r>
        <w:rPr>
          <w:rFonts w:hint="eastAsia" w:ascii="宋体" w:hAnsi="宋体" w:eastAsia="宋体" w:cs="宋体"/>
          <w:b/>
          <w:sz w:val="24"/>
          <w:szCs w:val="20"/>
          <w:lang w:val="zh-CN"/>
        </w:rPr>
        <w:t>声明函</w:t>
      </w:r>
      <w:r>
        <w:rPr>
          <w:rFonts w:hint="eastAsia" w:ascii="宋体" w:hAnsi="宋体" w:eastAsia="宋体" w:cs="宋体"/>
          <w:sz w:val="24"/>
          <w:szCs w:val="20"/>
          <w:lang w:val="zh-CN"/>
        </w:rPr>
        <w:t>”。</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落实政府采购政策需满足的资格要求的证明材料或者情况说明。</w:t>
      </w:r>
    </w:p>
    <w:p>
      <w:pPr>
        <w:autoSpaceDE w:val="0"/>
        <w:autoSpaceDN w:val="0"/>
        <w:adjustRightInd w:val="0"/>
        <w:spacing w:line="360" w:lineRule="auto"/>
        <w:ind w:left="490"/>
        <w:rPr>
          <w:rFonts w:hint="eastAsia" w:ascii="宋体" w:hAnsi="宋体" w:eastAsia="宋体" w:cs="宋体"/>
          <w:sz w:val="24"/>
          <w:szCs w:val="24"/>
        </w:rPr>
      </w:pPr>
      <w:r>
        <w:rPr>
          <w:rFonts w:hint="eastAsia" w:ascii="宋体" w:hAnsi="宋体" w:eastAsia="宋体" w:cs="宋体"/>
          <w:sz w:val="24"/>
          <w:szCs w:val="24"/>
        </w:rPr>
        <w:t>应提交相应声明函或者相应的情况说明。</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招标文件第一章“投标人资格要求”中有特殊要求的，投标人应提供其符合特殊要求的证明材料或者情况说明。</w:t>
      </w:r>
    </w:p>
    <w:p>
      <w:pPr>
        <w:numPr>
          <w:ilvl w:val="0"/>
          <w:numId w:val="43"/>
        </w:numPr>
        <w:autoSpaceDE w:val="0"/>
        <w:autoSpaceDN w:val="0"/>
        <w:adjustRightInd w:val="0"/>
        <w:spacing w:line="360" w:lineRule="auto"/>
        <w:ind w:left="490" w:hanging="370"/>
        <w:rPr>
          <w:rFonts w:hint="eastAsia" w:ascii="宋体" w:hAnsi="宋体" w:eastAsia="宋体" w:cs="宋体"/>
          <w:sz w:val="24"/>
          <w:szCs w:val="24"/>
        </w:rPr>
      </w:pPr>
      <w:r>
        <w:rPr>
          <w:rFonts w:hint="eastAsia" w:ascii="宋体" w:hAnsi="宋体" w:eastAsia="宋体" w:cs="宋体"/>
          <w:sz w:val="24"/>
          <w:szCs w:val="24"/>
        </w:rPr>
        <w:t>投标人认为需提供的其它相关资格证明材料。</w:t>
      </w:r>
    </w:p>
    <w:p>
      <w:pPr>
        <w:autoSpaceDE w:val="0"/>
        <w:autoSpaceDN w:val="0"/>
        <w:adjustRightInd w:val="0"/>
        <w:spacing w:line="400" w:lineRule="exact"/>
        <w:ind w:left="490"/>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kern w:val="0"/>
          <w:sz w:val="24"/>
          <w:szCs w:val="32"/>
        </w:rPr>
        <w:t>说明</w:t>
      </w:r>
      <w:r>
        <w:rPr>
          <w:rFonts w:hint="eastAsia" w:ascii="宋体" w:hAnsi="宋体" w:eastAsia="宋体" w:cs="宋体"/>
          <w:b/>
          <w:sz w:val="24"/>
          <w:szCs w:val="24"/>
        </w:rPr>
        <w:t>：</w:t>
      </w:r>
      <w:r>
        <w:rPr>
          <w:rFonts w:hint="eastAsia" w:ascii="宋体" w:hAnsi="宋体" w:eastAsia="宋体" w:cs="宋体"/>
          <w:sz w:val="24"/>
          <w:szCs w:val="24"/>
        </w:rPr>
        <w:t>1、以上材料提供不实的，按照《政府采购法》有关提供虚假材料的规定给予处罚；</w:t>
      </w:r>
    </w:p>
    <w:p>
      <w:pPr>
        <w:autoSpaceDE w:val="0"/>
        <w:autoSpaceDN w:val="0"/>
        <w:adjustRightInd w:val="0"/>
        <w:spacing w:line="360" w:lineRule="auto"/>
        <w:ind w:left="737" w:leftChars="346" w:hanging="7" w:hangingChars="3"/>
        <w:rPr>
          <w:rFonts w:hint="eastAsia" w:ascii="宋体" w:hAnsi="宋体" w:eastAsia="宋体" w:cs="宋体"/>
          <w:b/>
          <w:sz w:val="24"/>
          <w:szCs w:val="24"/>
        </w:rPr>
      </w:pPr>
      <w:r>
        <w:rPr>
          <w:rFonts w:hint="eastAsia" w:ascii="宋体" w:hAnsi="宋体" w:eastAsia="宋体" w:cs="宋体"/>
          <w:sz w:val="24"/>
          <w:szCs w:val="24"/>
        </w:rPr>
        <w:t>2、资格证明文件应为清晰影印件且加盖单位公章，否则</w:t>
      </w:r>
      <w:r>
        <w:rPr>
          <w:rFonts w:hint="eastAsia" w:ascii="宋体" w:hAnsi="宋体" w:eastAsia="宋体" w:cs="宋体"/>
          <w:kern w:val="0"/>
          <w:sz w:val="24"/>
          <w:szCs w:val="24"/>
        </w:rPr>
        <w:t>按照</w:t>
      </w:r>
      <w:r>
        <w:rPr>
          <w:rFonts w:hint="eastAsia" w:ascii="宋体" w:hAnsi="宋体" w:eastAsia="宋体" w:cs="宋体"/>
          <w:b/>
          <w:kern w:val="0"/>
          <w:sz w:val="24"/>
          <w:szCs w:val="24"/>
        </w:rPr>
        <w:t>无效投标处理</w:t>
      </w:r>
      <w:r>
        <w:rPr>
          <w:rFonts w:hint="eastAsia" w:ascii="宋体" w:hAnsi="宋体" w:eastAsia="宋体" w:cs="宋体"/>
          <w:b/>
          <w:sz w:val="24"/>
          <w:szCs w:val="24"/>
        </w:rPr>
        <w:t>。</w:t>
      </w:r>
    </w:p>
    <w:p>
      <w:pPr>
        <w:autoSpaceDE w:val="0"/>
        <w:autoSpaceDN w:val="0"/>
        <w:adjustRightInd w:val="0"/>
        <w:spacing w:line="360" w:lineRule="auto"/>
        <w:ind w:left="740" w:hanging="739" w:hangingChars="307"/>
        <w:rPr>
          <w:rFonts w:hint="eastAsia" w:ascii="宋体" w:hAnsi="宋体" w:eastAsia="宋体" w:cs="宋体"/>
          <w:b/>
          <w:sz w:val="24"/>
          <w:szCs w:val="24"/>
        </w:rPr>
      </w:pPr>
      <w:r>
        <w:rPr>
          <w:rFonts w:hint="eastAsia" w:ascii="宋体" w:hAnsi="宋体" w:eastAsia="宋体" w:cs="宋体"/>
          <w:b/>
          <w:sz w:val="24"/>
          <w:szCs w:val="24"/>
        </w:rPr>
        <w:br w:type="page"/>
      </w:r>
    </w:p>
    <w:p>
      <w:pPr>
        <w:spacing w:line="1100" w:lineRule="exact"/>
        <w:jc w:val="center"/>
        <w:rPr>
          <w:rFonts w:ascii="宋体" w:hAnsi="宋体"/>
          <w:color w:val="auto"/>
          <w:sz w:val="24"/>
          <w:szCs w:val="24"/>
        </w:rPr>
      </w:pPr>
    </w:p>
    <w:p>
      <w:pPr>
        <w:spacing w:line="1100" w:lineRule="exact"/>
        <w:jc w:val="center"/>
        <w:rPr>
          <w:rFonts w:ascii="黑体" w:hAnsi="黑体" w:eastAsia="黑体"/>
          <w:b/>
          <w:color w:val="auto"/>
          <w:sz w:val="72"/>
          <w:szCs w:val="72"/>
        </w:rPr>
      </w:pPr>
    </w:p>
    <w:p>
      <w:pPr>
        <w:spacing w:before="317" w:beforeLines="100" w:after="792" w:afterLines="250"/>
        <w:jc w:val="center"/>
        <w:rPr>
          <w:rFonts w:ascii="黑体" w:hAnsi="黑体" w:eastAsia="黑体"/>
          <w:bCs/>
          <w:color w:val="auto"/>
          <w:sz w:val="96"/>
          <w:szCs w:val="96"/>
        </w:rPr>
      </w:pPr>
      <w:r>
        <w:rPr>
          <w:rFonts w:hint="eastAsia" w:ascii="黑体" w:hAnsi="黑体" w:eastAsia="黑体"/>
          <w:bCs/>
          <w:color w:val="auto"/>
          <w:sz w:val="96"/>
          <w:szCs w:val="96"/>
        </w:rPr>
        <w:t>潜江市政府采购</w:t>
      </w:r>
    </w:p>
    <w:p>
      <w:pPr>
        <w:spacing w:after="634" w:afterLines="200"/>
        <w:jc w:val="center"/>
        <w:rPr>
          <w:rFonts w:ascii="黑体" w:hAnsi="黑体" w:eastAsia="黑体"/>
          <w:bCs/>
          <w:color w:val="auto"/>
          <w:sz w:val="72"/>
          <w:szCs w:val="72"/>
        </w:rPr>
      </w:pPr>
      <w:r>
        <w:rPr>
          <w:rFonts w:hint="eastAsia" w:ascii="黑体" w:hAnsi="黑体" w:eastAsia="黑体"/>
          <w:bCs/>
          <w:color w:val="auto"/>
          <w:sz w:val="72"/>
          <w:szCs w:val="72"/>
        </w:rPr>
        <w:t>投 标 文 件</w:t>
      </w:r>
    </w:p>
    <w:p>
      <w:pPr>
        <w:pStyle w:val="4"/>
        <w:spacing w:before="340" w:after="480" w:line="360" w:lineRule="auto"/>
        <w:jc w:val="center"/>
        <w:rPr>
          <w:rFonts w:ascii="宋体" w:hAnsi="宋体"/>
          <w:bCs w:val="0"/>
          <w:color w:val="auto"/>
          <w:sz w:val="44"/>
          <w:szCs w:val="44"/>
        </w:rPr>
      </w:pPr>
      <w:bookmarkStart w:id="88" w:name="_Toc494702267"/>
      <w:bookmarkStart w:id="89" w:name="_Toc494665947"/>
      <w:bookmarkStart w:id="90" w:name="_Toc7927"/>
      <w:bookmarkStart w:id="91" w:name="_Toc494745314"/>
      <w:bookmarkStart w:id="92" w:name="_Toc494665550"/>
      <w:bookmarkStart w:id="93" w:name="_Toc494721097"/>
      <w:bookmarkStart w:id="94" w:name="_Toc494664997"/>
      <w:r>
        <w:rPr>
          <w:rFonts w:hint="eastAsia" w:ascii="宋体" w:hAnsi="宋体"/>
          <w:bCs w:val="0"/>
          <w:color w:val="auto"/>
          <w:sz w:val="44"/>
          <w:szCs w:val="44"/>
        </w:rPr>
        <w:t>第二部分 商务文件</w:t>
      </w:r>
      <w:bookmarkEnd w:id="88"/>
      <w:bookmarkEnd w:id="89"/>
      <w:bookmarkEnd w:id="90"/>
      <w:bookmarkEnd w:id="91"/>
      <w:bookmarkEnd w:id="92"/>
      <w:bookmarkEnd w:id="93"/>
      <w:bookmarkEnd w:id="94"/>
    </w:p>
    <w:p>
      <w:pPr>
        <w:spacing w:line="360" w:lineRule="auto"/>
        <w:ind w:left="2060" w:leftChars="619" w:right="1306" w:rightChars="619" w:hanging="754" w:hangingChars="209"/>
        <w:rPr>
          <w:rFonts w:ascii="宋体" w:hAnsi="宋体"/>
          <w:bCs/>
          <w:color w:val="auto"/>
          <w:sz w:val="36"/>
          <w:szCs w:val="24"/>
        </w:rPr>
      </w:pPr>
      <w:r>
        <w:rPr>
          <w:rFonts w:hint="eastAsia" w:ascii="宋体" w:hAnsi="宋体"/>
          <w:b/>
          <w:bCs/>
          <w:color w:val="auto"/>
          <w:sz w:val="36"/>
          <w:szCs w:val="24"/>
        </w:rPr>
        <w:t>项目编号：</w:t>
      </w:r>
    </w:p>
    <w:p>
      <w:pPr>
        <w:spacing w:line="360" w:lineRule="auto"/>
        <w:ind w:left="2060" w:leftChars="619" w:right="1306" w:rightChars="619" w:hanging="754" w:hangingChars="209"/>
        <w:rPr>
          <w:rFonts w:ascii="宋体" w:hAnsi="宋体"/>
          <w:bCs/>
          <w:color w:val="auto"/>
          <w:sz w:val="36"/>
          <w:szCs w:val="24"/>
        </w:rPr>
      </w:pPr>
      <w:r>
        <w:rPr>
          <w:rFonts w:hint="eastAsia" w:ascii="宋体" w:hAnsi="宋体"/>
          <w:b/>
          <w:bCs/>
          <w:color w:val="auto"/>
          <w:sz w:val="36"/>
          <w:szCs w:val="24"/>
        </w:rPr>
        <w:t>项目名称：</w:t>
      </w:r>
    </w:p>
    <w:p>
      <w:pPr>
        <w:spacing w:line="360" w:lineRule="auto"/>
        <w:ind w:left="2060" w:leftChars="619" w:right="1306" w:rightChars="619" w:hanging="754" w:hangingChars="209"/>
        <w:rPr>
          <w:rFonts w:ascii="宋体" w:hAnsi="宋体"/>
          <w:color w:val="auto"/>
          <w:sz w:val="36"/>
          <w:szCs w:val="36"/>
        </w:rPr>
      </w:pPr>
      <w:r>
        <w:rPr>
          <w:rFonts w:hint="eastAsia" w:ascii="宋体" w:hAnsi="宋体"/>
          <w:b/>
          <w:bCs/>
          <w:color w:val="auto"/>
          <w:sz w:val="36"/>
          <w:szCs w:val="24"/>
        </w:rPr>
        <w:t>招标内容：</w:t>
      </w:r>
    </w:p>
    <w:p>
      <w:pPr>
        <w:spacing w:after="1585" w:afterLines="500" w:line="360" w:lineRule="auto"/>
        <w:ind w:left="2353" w:leftChars="271" w:right="571" w:rightChars="271" w:hanging="1782" w:hangingChars="494"/>
        <w:jc w:val="center"/>
        <w:rPr>
          <w:rFonts w:ascii="宋体" w:hAnsi="宋体"/>
          <w:color w:val="auto"/>
          <w:sz w:val="36"/>
          <w:szCs w:val="36"/>
        </w:rPr>
      </w:pPr>
    </w:p>
    <w:p>
      <w:pPr>
        <w:spacing w:line="360" w:lineRule="auto"/>
        <w:ind w:left="1979" w:leftChars="613" w:right="1293" w:rightChars="613" w:hanging="686" w:hangingChars="214"/>
        <w:rPr>
          <w:rFonts w:ascii="宋体" w:hAnsi="宋体"/>
          <w:b/>
          <w:bCs/>
          <w:color w:val="auto"/>
          <w:sz w:val="32"/>
          <w:szCs w:val="32"/>
        </w:rPr>
      </w:pPr>
      <w:r>
        <w:rPr>
          <w:rFonts w:hint="eastAsia" w:ascii="宋体" w:hAnsi="宋体"/>
          <w:b/>
          <w:bCs/>
          <w:color w:val="auto"/>
          <w:sz w:val="32"/>
          <w:szCs w:val="32"/>
        </w:rPr>
        <w:t>投标人（盖章）：</w:t>
      </w:r>
    </w:p>
    <w:p>
      <w:pPr>
        <w:spacing w:line="360" w:lineRule="auto"/>
        <w:ind w:left="1979" w:leftChars="613" w:right="1293" w:rightChars="613" w:hanging="686" w:hangingChars="214"/>
        <w:rPr>
          <w:rFonts w:ascii="宋体" w:hAnsi="宋体"/>
          <w:b/>
          <w:bCs/>
          <w:color w:val="auto"/>
          <w:sz w:val="32"/>
          <w:szCs w:val="32"/>
        </w:rPr>
      </w:pPr>
      <w:r>
        <w:rPr>
          <w:rFonts w:hint="eastAsia" w:ascii="宋体" w:hAnsi="宋体"/>
          <w:b/>
          <w:bCs/>
          <w:color w:val="auto"/>
          <w:sz w:val="32"/>
          <w:szCs w:val="32"/>
        </w:rPr>
        <w:t>投标人授权代表（签字）：</w:t>
      </w:r>
    </w:p>
    <w:p>
      <w:pPr>
        <w:spacing w:before="317" w:beforeLines="100" w:after="317" w:afterLines="100" w:line="360" w:lineRule="auto"/>
        <w:ind w:left="2264" w:leftChars="466" w:right="466" w:hanging="1281" w:hangingChars="355"/>
        <w:jc w:val="center"/>
        <w:rPr>
          <w:rFonts w:ascii="宋体" w:hAnsi="宋体"/>
          <w:b/>
          <w:color w:val="auto"/>
          <w:sz w:val="36"/>
          <w:szCs w:val="36"/>
        </w:rPr>
      </w:pPr>
      <w:r>
        <w:rPr>
          <w:rFonts w:hint="eastAsia" w:ascii="宋体" w:hAnsi="宋体"/>
          <w:b/>
          <w:bCs/>
          <w:color w:val="auto"/>
          <w:sz w:val="36"/>
          <w:szCs w:val="36"/>
        </w:rPr>
        <w:t>二0二</w:t>
      </w:r>
      <w:r>
        <w:rPr>
          <w:rFonts w:hint="eastAsia" w:ascii="宋体" w:hAnsi="宋体"/>
          <w:b/>
          <w:color w:val="auto"/>
          <w:sz w:val="36"/>
          <w:szCs w:val="36"/>
        </w:rPr>
        <w:t xml:space="preserve">  年 月</w:t>
      </w:r>
    </w:p>
    <w:p>
      <w:pPr>
        <w:rPr>
          <w:rFonts w:ascii="宋体" w:hAnsi="宋体"/>
          <w:b/>
          <w:bCs/>
          <w:color w:val="auto"/>
          <w:sz w:val="30"/>
          <w:szCs w:val="30"/>
        </w:rPr>
      </w:pPr>
      <w:r>
        <w:rPr>
          <w:color w:val="auto"/>
        </w:rPr>
        <w:br w:type="page"/>
      </w:r>
      <w:r>
        <w:rPr>
          <w:rFonts w:hint="eastAsia" w:ascii="宋体" w:hAnsi="宋体"/>
          <w:b/>
          <w:bCs/>
          <w:color w:val="auto"/>
          <w:sz w:val="30"/>
          <w:szCs w:val="30"/>
        </w:rPr>
        <w:t>格式（参考）说明：</w:t>
      </w:r>
    </w:p>
    <w:p>
      <w:pPr>
        <w:spacing w:before="120" w:after="120" w:line="578" w:lineRule="auto"/>
        <w:jc w:val="center"/>
        <w:rPr>
          <w:rFonts w:ascii="黑体" w:hAnsi="黑体" w:eastAsia="黑体"/>
          <w:bCs/>
          <w:color w:val="auto"/>
          <w:sz w:val="36"/>
          <w:szCs w:val="36"/>
        </w:rPr>
      </w:pPr>
      <w:bookmarkStart w:id="95" w:name="_Toc494721098"/>
      <w:bookmarkStart w:id="96" w:name="_Toc494665948"/>
      <w:bookmarkStart w:id="97" w:name="_Toc494702268"/>
      <w:bookmarkStart w:id="98" w:name="_Toc494665551"/>
      <w:bookmarkStart w:id="99" w:name="_Toc494664998"/>
      <w:bookmarkStart w:id="100" w:name="_Toc494745315"/>
      <w:r>
        <w:rPr>
          <w:rFonts w:hint="eastAsia" w:ascii="黑体" w:hAnsi="黑体" w:eastAsia="黑体"/>
          <w:bCs/>
          <w:color w:val="auto"/>
          <w:sz w:val="36"/>
          <w:szCs w:val="36"/>
        </w:rPr>
        <w:t>商务文件组成</w:t>
      </w:r>
      <w:bookmarkEnd w:id="95"/>
      <w:bookmarkEnd w:id="96"/>
      <w:bookmarkEnd w:id="97"/>
      <w:bookmarkEnd w:id="98"/>
      <w:bookmarkEnd w:id="99"/>
      <w:bookmarkEnd w:id="100"/>
    </w:p>
    <w:p>
      <w:pPr>
        <w:autoSpaceDE w:val="0"/>
        <w:autoSpaceDN w:val="0"/>
        <w:adjustRightInd w:val="0"/>
        <w:spacing w:before="158" w:beforeLines="50" w:after="158" w:afterLines="50" w:line="360" w:lineRule="auto"/>
        <w:ind w:firstLine="482" w:firstLineChars="200"/>
        <w:rPr>
          <w:rFonts w:ascii="宋体" w:hAnsi="宋体"/>
          <w:color w:val="auto"/>
          <w:kern w:val="0"/>
          <w:sz w:val="24"/>
          <w:szCs w:val="32"/>
        </w:rPr>
      </w:pPr>
      <w:r>
        <w:rPr>
          <w:rFonts w:hint="eastAsia" w:ascii="宋体" w:hAnsi="宋体"/>
          <w:color w:val="auto"/>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51"/>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商务文件目录</w:t>
      </w:r>
      <w:r>
        <w:rPr>
          <w:rFonts w:hint="eastAsia" w:ascii="宋体" w:hAnsi="宋体"/>
          <w:b/>
          <w:color w:val="auto"/>
          <w:kern w:val="0"/>
          <w:sz w:val="24"/>
          <w:szCs w:val="32"/>
        </w:rPr>
        <w:t>（目录应涵盖下述所有资料，页码清晰以便查阅）</w:t>
      </w:r>
      <w:r>
        <w:rPr>
          <w:rFonts w:hint="eastAsia" w:ascii="宋体" w:hAnsi="宋体"/>
          <w:color w:val="auto"/>
          <w:kern w:val="0"/>
          <w:sz w:val="24"/>
          <w:szCs w:val="32"/>
        </w:rPr>
        <w:t>；</w:t>
      </w:r>
    </w:p>
    <w:p>
      <w:pPr>
        <w:numPr>
          <w:ilvl w:val="0"/>
          <w:numId w:val="51"/>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投标书（附件一）；</w:t>
      </w:r>
    </w:p>
    <w:p>
      <w:pPr>
        <w:numPr>
          <w:ilvl w:val="0"/>
          <w:numId w:val="51"/>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中小企业声明函（货物）（附件二）；</w:t>
      </w:r>
    </w:p>
    <w:p>
      <w:pPr>
        <w:numPr>
          <w:ilvl w:val="0"/>
          <w:numId w:val="51"/>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中小企业声明函（工程、服务）（附件三）；</w:t>
      </w:r>
    </w:p>
    <w:p>
      <w:pPr>
        <w:numPr>
          <w:ilvl w:val="0"/>
          <w:numId w:val="51"/>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残疾人福利性单位声明函（附件四）</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开标一览表（附件五）；</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投标报价明细表（附件六）；</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小型和微型企业、监狱企业、残疾人福利性单位货物汇总表（附件七）；</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投标货物、服务清单（附件八）；</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法定代表人授权书（附件九）；</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关于不存在招标文件第二章“十其他注意事项”中规定禁止情形的书面声明；</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投标人的资格声明（附件十）；</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项目负责人、技术负责人简历表（附件十一）；</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项目班子成员情况表（附件十二）；</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投标人类似项目业绩表（附件十三）；</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招标文件要求提供或投标人认为需提供的其它资料；</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符合性审查对照表（附件十四）；</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商务要求响应、偏离说明表（附件十五）；</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商务要求“</w:t>
      </w:r>
      <w:r>
        <w:rPr>
          <w:rFonts w:hint="eastAsia" w:ascii="宋体" w:hAnsi="宋体" w:cs="宋体"/>
          <w:b/>
          <w:bCs/>
          <w:color w:val="auto"/>
        </w:rPr>
        <w:t>★</w:t>
      </w:r>
      <w:r>
        <w:rPr>
          <w:rFonts w:hint="eastAsia" w:ascii="宋体" w:hAnsi="宋体" w:cs="Courier New"/>
          <w:color w:val="auto"/>
          <w:sz w:val="24"/>
          <w:szCs w:val="24"/>
        </w:rPr>
        <w:t>”号条款响应、偏离说明表（附件十六）</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商务评议对照表（附件十七）。</w:t>
      </w:r>
    </w:p>
    <w:p>
      <w:pPr>
        <w:numPr>
          <w:ilvl w:val="0"/>
          <w:numId w:val="51"/>
        </w:numPr>
        <w:autoSpaceDE w:val="0"/>
        <w:autoSpaceDN w:val="0"/>
        <w:adjustRightInd w:val="0"/>
        <w:spacing w:line="360" w:lineRule="auto"/>
        <w:rPr>
          <w:rFonts w:ascii="宋体" w:hAnsi="宋体" w:cs="Courier New"/>
          <w:color w:val="auto"/>
          <w:sz w:val="24"/>
          <w:szCs w:val="24"/>
        </w:rPr>
      </w:pPr>
      <w:r>
        <w:rPr>
          <w:rFonts w:hint="eastAsia" w:ascii="宋体" w:hAnsi="宋体" w:cs="Courier New"/>
          <w:color w:val="auto"/>
          <w:sz w:val="24"/>
          <w:szCs w:val="24"/>
        </w:rPr>
        <w:t>投标供应商承诺书（附件二十一）</w:t>
      </w:r>
    </w:p>
    <w:p>
      <w:pPr>
        <w:rPr>
          <w:color w:val="auto"/>
        </w:rPr>
      </w:pPr>
      <w:r>
        <w:rPr>
          <w:color w:val="auto"/>
        </w:rPr>
        <w:br w:type="page"/>
      </w:r>
    </w:p>
    <w:p>
      <w:pPr>
        <w:spacing w:before="317" w:beforeLines="100" w:after="792" w:afterLines="250"/>
        <w:jc w:val="center"/>
        <w:rPr>
          <w:rFonts w:ascii="黑体" w:hAnsi="黑体" w:eastAsia="黑体"/>
          <w:bCs/>
          <w:color w:val="auto"/>
          <w:sz w:val="96"/>
          <w:szCs w:val="96"/>
        </w:rPr>
      </w:pPr>
      <w:r>
        <w:rPr>
          <w:rFonts w:hint="eastAsia" w:ascii="黑体" w:hAnsi="黑体" w:eastAsia="黑体"/>
          <w:bCs/>
          <w:color w:val="auto"/>
          <w:sz w:val="96"/>
          <w:szCs w:val="96"/>
        </w:rPr>
        <w:t>潜江市政府采购</w:t>
      </w:r>
    </w:p>
    <w:p>
      <w:pPr>
        <w:spacing w:after="634" w:afterLines="200"/>
        <w:jc w:val="center"/>
        <w:rPr>
          <w:rFonts w:ascii="黑体" w:hAnsi="黑体" w:eastAsia="黑体"/>
          <w:bCs/>
          <w:color w:val="auto"/>
          <w:sz w:val="72"/>
          <w:szCs w:val="72"/>
        </w:rPr>
      </w:pPr>
      <w:r>
        <w:rPr>
          <w:rFonts w:hint="eastAsia" w:ascii="黑体" w:hAnsi="黑体" w:eastAsia="黑体"/>
          <w:bCs/>
          <w:color w:val="auto"/>
          <w:sz w:val="72"/>
          <w:szCs w:val="72"/>
        </w:rPr>
        <w:t>投 标 文 件</w:t>
      </w:r>
    </w:p>
    <w:p>
      <w:pPr>
        <w:pStyle w:val="4"/>
        <w:spacing w:before="340" w:after="480" w:line="360" w:lineRule="auto"/>
        <w:jc w:val="center"/>
        <w:rPr>
          <w:rFonts w:ascii="宋体" w:hAnsi="宋体"/>
          <w:bCs w:val="0"/>
          <w:color w:val="auto"/>
          <w:sz w:val="44"/>
          <w:szCs w:val="44"/>
        </w:rPr>
      </w:pPr>
      <w:bookmarkStart w:id="101" w:name="_Toc494665949"/>
      <w:bookmarkStart w:id="102" w:name="_Toc494702269"/>
      <w:bookmarkStart w:id="103" w:name="_Toc494664999"/>
      <w:bookmarkStart w:id="104" w:name="_Toc494665552"/>
      <w:bookmarkStart w:id="105" w:name="_Toc494745316"/>
      <w:bookmarkStart w:id="106" w:name="_Toc2045"/>
      <w:bookmarkStart w:id="107" w:name="_Toc494721099"/>
      <w:r>
        <w:rPr>
          <w:rFonts w:hint="eastAsia" w:ascii="宋体" w:hAnsi="宋体"/>
          <w:bCs w:val="0"/>
          <w:color w:val="auto"/>
          <w:sz w:val="44"/>
          <w:szCs w:val="44"/>
        </w:rPr>
        <w:t>第三部分 技术、服务文件</w:t>
      </w:r>
      <w:bookmarkEnd w:id="101"/>
      <w:bookmarkEnd w:id="102"/>
      <w:bookmarkEnd w:id="103"/>
      <w:bookmarkEnd w:id="104"/>
      <w:bookmarkEnd w:id="105"/>
      <w:bookmarkEnd w:id="106"/>
      <w:bookmarkEnd w:id="107"/>
    </w:p>
    <w:p>
      <w:pPr>
        <w:spacing w:line="360" w:lineRule="auto"/>
        <w:ind w:left="2060" w:leftChars="619" w:right="1306" w:rightChars="619" w:hanging="754" w:hangingChars="209"/>
        <w:rPr>
          <w:rFonts w:ascii="宋体" w:hAnsi="宋体"/>
          <w:bCs/>
          <w:color w:val="auto"/>
          <w:sz w:val="36"/>
          <w:szCs w:val="24"/>
        </w:rPr>
      </w:pPr>
      <w:r>
        <w:rPr>
          <w:rFonts w:hint="eastAsia" w:ascii="宋体" w:hAnsi="宋体"/>
          <w:b/>
          <w:bCs/>
          <w:color w:val="auto"/>
          <w:sz w:val="36"/>
          <w:szCs w:val="24"/>
        </w:rPr>
        <w:t>项目编号：</w:t>
      </w:r>
    </w:p>
    <w:p>
      <w:pPr>
        <w:spacing w:line="360" w:lineRule="auto"/>
        <w:ind w:left="2060" w:leftChars="619" w:right="1306" w:rightChars="619" w:hanging="754" w:hangingChars="209"/>
        <w:rPr>
          <w:rFonts w:ascii="宋体" w:hAnsi="宋体"/>
          <w:bCs/>
          <w:color w:val="auto"/>
          <w:sz w:val="36"/>
          <w:szCs w:val="24"/>
        </w:rPr>
      </w:pPr>
      <w:r>
        <w:rPr>
          <w:rFonts w:hint="eastAsia" w:ascii="宋体" w:hAnsi="宋体"/>
          <w:b/>
          <w:bCs/>
          <w:color w:val="auto"/>
          <w:sz w:val="36"/>
          <w:szCs w:val="24"/>
        </w:rPr>
        <w:t>项目名称：</w:t>
      </w:r>
    </w:p>
    <w:p>
      <w:pPr>
        <w:spacing w:line="360" w:lineRule="auto"/>
        <w:ind w:left="2060" w:leftChars="619" w:right="1306" w:rightChars="619" w:hanging="754" w:hangingChars="209"/>
        <w:rPr>
          <w:rFonts w:ascii="宋体" w:hAnsi="宋体"/>
          <w:color w:val="auto"/>
          <w:sz w:val="36"/>
          <w:szCs w:val="36"/>
        </w:rPr>
      </w:pPr>
      <w:r>
        <w:rPr>
          <w:rFonts w:hint="eastAsia" w:ascii="宋体" w:hAnsi="宋体"/>
          <w:b/>
          <w:bCs/>
          <w:color w:val="auto"/>
          <w:sz w:val="36"/>
          <w:szCs w:val="24"/>
        </w:rPr>
        <w:t>招标内容：</w:t>
      </w:r>
    </w:p>
    <w:p>
      <w:pPr>
        <w:spacing w:after="1585" w:afterLines="500" w:line="360" w:lineRule="auto"/>
        <w:ind w:left="2353" w:leftChars="271" w:right="571" w:rightChars="271" w:hanging="1782" w:hangingChars="494"/>
        <w:jc w:val="center"/>
        <w:rPr>
          <w:rFonts w:ascii="宋体" w:hAnsi="宋体"/>
          <w:color w:val="auto"/>
          <w:sz w:val="36"/>
          <w:szCs w:val="36"/>
        </w:rPr>
      </w:pPr>
    </w:p>
    <w:p>
      <w:pPr>
        <w:spacing w:line="360" w:lineRule="auto"/>
        <w:ind w:left="1979" w:leftChars="613" w:right="1293" w:rightChars="613" w:hanging="686" w:hangingChars="214"/>
        <w:rPr>
          <w:rFonts w:ascii="宋体" w:hAnsi="宋体"/>
          <w:b/>
          <w:bCs/>
          <w:color w:val="auto"/>
          <w:sz w:val="32"/>
          <w:szCs w:val="32"/>
        </w:rPr>
      </w:pPr>
      <w:r>
        <w:rPr>
          <w:rFonts w:hint="eastAsia" w:ascii="宋体" w:hAnsi="宋体"/>
          <w:b/>
          <w:bCs/>
          <w:color w:val="auto"/>
          <w:sz w:val="32"/>
          <w:szCs w:val="32"/>
        </w:rPr>
        <w:t>投标人（盖章）：</w:t>
      </w:r>
    </w:p>
    <w:p>
      <w:pPr>
        <w:spacing w:line="360" w:lineRule="auto"/>
        <w:ind w:left="1979" w:leftChars="613" w:right="1293" w:rightChars="613" w:hanging="686" w:hangingChars="214"/>
        <w:rPr>
          <w:rFonts w:ascii="宋体" w:hAnsi="宋体"/>
          <w:b/>
          <w:bCs/>
          <w:color w:val="auto"/>
          <w:sz w:val="32"/>
          <w:szCs w:val="32"/>
        </w:rPr>
      </w:pPr>
      <w:r>
        <w:rPr>
          <w:rFonts w:hint="eastAsia" w:ascii="宋体" w:hAnsi="宋体"/>
          <w:b/>
          <w:bCs/>
          <w:color w:val="auto"/>
          <w:sz w:val="32"/>
          <w:szCs w:val="32"/>
        </w:rPr>
        <w:t>投标人授权代表（签字）：</w:t>
      </w:r>
    </w:p>
    <w:p>
      <w:pPr>
        <w:spacing w:line="360" w:lineRule="auto"/>
        <w:ind w:left="1979" w:leftChars="613" w:right="1293" w:rightChars="613" w:hanging="686" w:hangingChars="214"/>
        <w:rPr>
          <w:rFonts w:ascii="宋体" w:hAnsi="宋体"/>
          <w:b/>
          <w:bCs/>
          <w:color w:val="auto"/>
          <w:sz w:val="32"/>
          <w:szCs w:val="32"/>
        </w:rPr>
      </w:pPr>
    </w:p>
    <w:p>
      <w:pPr>
        <w:spacing w:line="360" w:lineRule="auto"/>
        <w:ind w:left="1979" w:leftChars="613" w:right="1293" w:rightChars="613" w:hanging="686" w:hangingChars="214"/>
        <w:rPr>
          <w:rFonts w:ascii="宋体" w:hAnsi="宋体"/>
          <w:b/>
          <w:bCs/>
          <w:color w:val="auto"/>
          <w:sz w:val="32"/>
          <w:szCs w:val="32"/>
        </w:rPr>
      </w:pPr>
    </w:p>
    <w:p>
      <w:pPr>
        <w:spacing w:line="360" w:lineRule="auto"/>
        <w:ind w:left="1979" w:leftChars="613" w:right="1293" w:rightChars="613" w:hanging="686" w:hangingChars="214"/>
        <w:rPr>
          <w:rFonts w:ascii="宋体" w:hAnsi="宋体"/>
          <w:b/>
          <w:bCs/>
          <w:color w:val="auto"/>
          <w:sz w:val="32"/>
          <w:szCs w:val="32"/>
        </w:rPr>
      </w:pPr>
    </w:p>
    <w:p>
      <w:pPr>
        <w:jc w:val="center"/>
        <w:rPr>
          <w:rFonts w:ascii="宋体" w:hAnsi="宋体"/>
          <w:b/>
          <w:bCs/>
          <w:color w:val="auto"/>
          <w:sz w:val="30"/>
          <w:szCs w:val="30"/>
        </w:rPr>
      </w:pPr>
      <w:r>
        <w:rPr>
          <w:rFonts w:hint="eastAsia" w:ascii="宋体" w:hAnsi="宋体"/>
          <w:b/>
          <w:bCs/>
          <w:color w:val="auto"/>
          <w:sz w:val="36"/>
          <w:szCs w:val="36"/>
        </w:rPr>
        <w:t>二〇二　年　月</w:t>
      </w:r>
      <w:r>
        <w:rPr>
          <w:color w:val="auto"/>
        </w:rPr>
        <w:br w:type="page"/>
      </w:r>
      <w:r>
        <w:rPr>
          <w:rFonts w:hint="eastAsia" w:ascii="宋体" w:hAnsi="宋体"/>
          <w:b/>
          <w:bCs/>
          <w:color w:val="auto"/>
          <w:sz w:val="30"/>
          <w:szCs w:val="30"/>
        </w:rPr>
        <w:t>格式（参考）说明：</w:t>
      </w:r>
    </w:p>
    <w:p>
      <w:pPr>
        <w:spacing w:before="120" w:after="120" w:line="578" w:lineRule="auto"/>
        <w:jc w:val="center"/>
        <w:rPr>
          <w:rFonts w:ascii="黑体" w:hAnsi="黑体" w:eastAsia="黑体"/>
          <w:color w:val="auto"/>
          <w:sz w:val="36"/>
          <w:szCs w:val="36"/>
        </w:rPr>
      </w:pPr>
      <w:bookmarkStart w:id="108" w:name="_Toc494721100"/>
      <w:bookmarkStart w:id="109" w:name="_Toc494665000"/>
      <w:bookmarkStart w:id="110" w:name="_Toc494665553"/>
      <w:bookmarkStart w:id="111" w:name="_Toc494745317"/>
      <w:bookmarkStart w:id="112" w:name="_Toc494665950"/>
      <w:bookmarkStart w:id="113" w:name="_Toc494702270"/>
      <w:r>
        <w:rPr>
          <w:rFonts w:hint="eastAsia" w:ascii="黑体" w:hAnsi="黑体" w:eastAsia="黑体"/>
          <w:color w:val="auto"/>
          <w:sz w:val="36"/>
          <w:szCs w:val="36"/>
        </w:rPr>
        <w:t>技术、服务文件组成</w:t>
      </w:r>
      <w:bookmarkEnd w:id="108"/>
      <w:bookmarkEnd w:id="109"/>
      <w:bookmarkEnd w:id="110"/>
      <w:bookmarkEnd w:id="111"/>
      <w:bookmarkEnd w:id="112"/>
      <w:bookmarkEnd w:id="113"/>
    </w:p>
    <w:p>
      <w:pPr>
        <w:autoSpaceDE w:val="0"/>
        <w:autoSpaceDN w:val="0"/>
        <w:adjustRightInd w:val="0"/>
        <w:spacing w:before="158" w:beforeLines="50" w:after="158" w:afterLines="50" w:line="360" w:lineRule="auto"/>
        <w:ind w:firstLine="482" w:firstLineChars="200"/>
        <w:rPr>
          <w:rFonts w:ascii="宋体" w:hAnsi="宋体"/>
          <w:color w:val="auto"/>
          <w:kern w:val="0"/>
          <w:sz w:val="24"/>
          <w:szCs w:val="32"/>
        </w:rPr>
      </w:pPr>
      <w:r>
        <w:rPr>
          <w:rFonts w:hint="eastAsia" w:ascii="宋体" w:hAnsi="宋体"/>
          <w:color w:val="auto"/>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技术、服务文件目录（目录应涵盖下述所有资料，页码清晰以便查阅）；</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投标货物（工程或服务）介绍，项目建设（服务）方案；</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技术、服务要求响应、偏离说明表（附件十八）；</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技术、服务要求“</w:t>
      </w:r>
      <w:r>
        <w:rPr>
          <w:rFonts w:hint="eastAsia" w:ascii="宋体" w:hAnsi="宋体" w:cs="宋体"/>
          <w:b/>
          <w:bCs/>
          <w:color w:val="auto"/>
        </w:rPr>
        <w:t>★</w:t>
      </w:r>
      <w:r>
        <w:rPr>
          <w:rFonts w:hint="eastAsia" w:ascii="宋体" w:hAnsi="宋体"/>
          <w:color w:val="auto"/>
          <w:kern w:val="0"/>
          <w:sz w:val="24"/>
          <w:szCs w:val="32"/>
        </w:rPr>
        <w:t>”号条款响应、偏离说明表（附件十九）；</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技术、服务评议对照表（附件二十）；</w:t>
      </w:r>
    </w:p>
    <w:p>
      <w:pPr>
        <w:numPr>
          <w:ilvl w:val="0"/>
          <w:numId w:val="52"/>
        </w:numPr>
        <w:autoSpaceDE w:val="0"/>
        <w:autoSpaceDN w:val="0"/>
        <w:adjustRightInd w:val="0"/>
        <w:spacing w:line="360" w:lineRule="auto"/>
        <w:rPr>
          <w:rFonts w:ascii="宋体" w:hAnsi="宋体"/>
          <w:color w:val="auto"/>
          <w:kern w:val="0"/>
          <w:sz w:val="24"/>
          <w:szCs w:val="32"/>
        </w:rPr>
      </w:pPr>
      <w:r>
        <w:rPr>
          <w:rFonts w:hint="eastAsia" w:ascii="宋体" w:hAnsi="宋体"/>
          <w:color w:val="auto"/>
          <w:kern w:val="0"/>
          <w:sz w:val="24"/>
          <w:szCs w:val="32"/>
        </w:rPr>
        <w:t>招标文件要求提供或投标人认为需提供的其它资料。</w:t>
      </w:r>
    </w:p>
    <w:p>
      <w:pPr>
        <w:autoSpaceDE w:val="0"/>
        <w:autoSpaceDN w:val="0"/>
        <w:adjustRightInd w:val="0"/>
        <w:spacing w:line="360" w:lineRule="auto"/>
        <w:rPr>
          <w:rFonts w:ascii="宋体" w:hAnsi="宋体"/>
          <w:color w:val="auto"/>
          <w:kern w:val="0"/>
          <w:sz w:val="24"/>
          <w:szCs w:val="32"/>
        </w:rPr>
      </w:pPr>
    </w:p>
    <w:p>
      <w:pPr>
        <w:autoSpaceDE w:val="0"/>
        <w:autoSpaceDN w:val="0"/>
        <w:adjustRightInd w:val="0"/>
        <w:spacing w:line="360" w:lineRule="auto"/>
        <w:ind w:left="718" w:leftChars="-6" w:hanging="730" w:hangingChars="303"/>
        <w:rPr>
          <w:rFonts w:ascii="宋体" w:hAnsi="宋体"/>
          <w:color w:val="auto"/>
          <w:kern w:val="0"/>
          <w:sz w:val="24"/>
          <w:szCs w:val="32"/>
        </w:rPr>
      </w:pPr>
      <w:r>
        <w:rPr>
          <w:rFonts w:hint="eastAsia" w:ascii="宋体" w:hAnsi="宋体"/>
          <w:color w:val="auto"/>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114" w:name="_Toc494721101"/>
      <w:bookmarkStart w:id="115" w:name="_Toc236473298"/>
      <w:bookmarkStart w:id="116" w:name="_Toc494665951"/>
      <w:bookmarkStart w:id="117" w:name="_Toc494702271"/>
      <w:bookmarkStart w:id="118" w:name="_Toc494665001"/>
      <w:bookmarkStart w:id="119" w:name="_Toc494665554"/>
      <w:bookmarkStart w:id="120" w:name="_Toc494745318"/>
      <w:bookmarkStart w:id="121" w:name="_Toc238276242"/>
      <w:r>
        <w:rPr>
          <w:rFonts w:hint="eastAsia" w:ascii="宋体" w:hAnsi="宋体"/>
          <w:color w:val="auto"/>
        </w:rPr>
        <w:t xml:space="preserve">                </w:t>
      </w:r>
      <w:bookmarkStart w:id="122" w:name="_Toc22585"/>
      <w:r>
        <w:rPr>
          <w:rFonts w:hint="eastAsia" w:ascii="宋体" w:hAnsi="宋体"/>
          <w:color w:val="auto"/>
        </w:rPr>
        <w:t>投标书</w:t>
      </w:r>
      <w:bookmarkEnd w:id="114"/>
      <w:bookmarkEnd w:id="115"/>
      <w:bookmarkEnd w:id="116"/>
      <w:bookmarkEnd w:id="117"/>
      <w:bookmarkEnd w:id="118"/>
      <w:bookmarkEnd w:id="119"/>
      <w:bookmarkEnd w:id="120"/>
      <w:bookmarkEnd w:id="121"/>
      <w:bookmarkEnd w:id="122"/>
    </w:p>
    <w:p>
      <w:pPr>
        <w:jc w:val="center"/>
        <w:rPr>
          <w:color w:val="auto"/>
          <w:sz w:val="28"/>
          <w:szCs w:val="28"/>
        </w:rPr>
      </w:pPr>
    </w:p>
    <w:p>
      <w:pPr>
        <w:spacing w:line="360" w:lineRule="auto"/>
        <w:rPr>
          <w:b/>
          <w:color w:val="auto"/>
          <w:sz w:val="28"/>
          <w:szCs w:val="28"/>
        </w:rPr>
      </w:pPr>
      <w:r>
        <w:rPr>
          <w:rFonts w:hint="eastAsia"/>
          <w:b/>
          <w:color w:val="auto"/>
          <w:sz w:val="28"/>
          <w:szCs w:val="28"/>
        </w:rPr>
        <w:t>潜江市政府采购中心：</w:t>
      </w:r>
    </w:p>
    <w:p>
      <w:pPr>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sz w:val="24"/>
          <w:szCs w:val="24"/>
          <w:lang w:eastAsia="zh-CN"/>
        </w:rPr>
        <w:t>依据贵方</w:t>
      </w:r>
      <w:r>
        <w:rPr>
          <w:rFonts w:hint="eastAsia" w:cs="Times New Roman" w:asciiTheme="minorEastAsia" w:hAnsiTheme="minorEastAsia"/>
          <w:sz w:val="24"/>
          <w:szCs w:val="24"/>
          <w:u w:val="single"/>
          <w:lang w:eastAsia="zh-CN"/>
        </w:rPr>
        <w:t xml:space="preserve"> （项目名称） </w:t>
      </w:r>
      <w:r>
        <w:rPr>
          <w:rFonts w:hint="eastAsia" w:cs="Times New Roman" w:asciiTheme="minorEastAsia" w:hAnsiTheme="minorEastAsia"/>
          <w:sz w:val="24"/>
          <w:szCs w:val="24"/>
          <w:lang w:eastAsia="zh-CN"/>
        </w:rPr>
        <w:t>项目（项目编号：</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lang w:eastAsia="zh-CN"/>
        </w:rPr>
        <w:t>）招标的投标邀请，我方代表</w:t>
      </w:r>
      <w:r>
        <w:rPr>
          <w:rFonts w:hint="eastAsia" w:cs="Times New Roman" w:asciiTheme="minorEastAsia" w:hAnsiTheme="minorEastAsia"/>
          <w:sz w:val="24"/>
          <w:szCs w:val="24"/>
          <w:u w:val="single"/>
          <w:lang w:eastAsia="zh-CN"/>
        </w:rPr>
        <w:t xml:space="preserve"> （姓名、职务） </w:t>
      </w:r>
      <w:r>
        <w:rPr>
          <w:rFonts w:hint="eastAsia" w:cs="Times New Roman" w:asciiTheme="minorEastAsia" w:hAnsiTheme="minorEastAsia"/>
          <w:sz w:val="24"/>
          <w:szCs w:val="24"/>
          <w:lang w:eastAsia="zh-CN"/>
        </w:rPr>
        <w:t>经正式授权并代表投标人</w:t>
      </w:r>
      <w:r>
        <w:rPr>
          <w:rFonts w:hint="eastAsia" w:cs="Times New Roman" w:asciiTheme="minorEastAsia" w:hAnsiTheme="minorEastAsia"/>
          <w:sz w:val="24"/>
          <w:szCs w:val="24"/>
          <w:u w:val="single"/>
          <w:lang w:eastAsia="zh-CN"/>
        </w:rPr>
        <w:t xml:space="preserve"> （投标人全称 ） </w:t>
      </w:r>
      <w:r>
        <w:rPr>
          <w:rFonts w:hint="eastAsia" w:cs="Times New Roman" w:asciiTheme="minorEastAsia" w:hAnsiTheme="minorEastAsia"/>
          <w:sz w:val="24"/>
          <w:szCs w:val="24"/>
          <w:lang w:eastAsia="zh-CN"/>
        </w:rPr>
        <w:t>提交下述文件。</w:t>
      </w:r>
    </w:p>
    <w:p>
      <w:pPr>
        <w:numPr>
          <w:ilvl w:val="0"/>
          <w:numId w:val="54"/>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资格证明文件；</w:t>
      </w:r>
      <w:r>
        <w:rPr>
          <w:rFonts w:ascii="宋体" w:hAnsi="宋体" w:eastAsia="宋体" w:cs="Times New Roman"/>
          <w:b/>
          <w:kern w:val="0"/>
          <w:sz w:val="24"/>
          <w:szCs w:val="32"/>
        </w:rPr>
        <w:t xml:space="preserve"> </w:t>
      </w:r>
    </w:p>
    <w:p>
      <w:pPr>
        <w:numPr>
          <w:ilvl w:val="0"/>
          <w:numId w:val="54"/>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商务文件；</w:t>
      </w:r>
    </w:p>
    <w:p>
      <w:pPr>
        <w:numPr>
          <w:ilvl w:val="0"/>
          <w:numId w:val="54"/>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技术、服务文件。</w:t>
      </w:r>
    </w:p>
    <w:p>
      <w:pPr>
        <w:numPr>
          <w:ilvl w:val="0"/>
          <w:numId w:val="54"/>
        </w:numPr>
        <w:tabs>
          <w:tab w:val="left" w:pos="966"/>
        </w:tabs>
        <w:autoSpaceDE w:val="0"/>
        <w:autoSpaceDN w:val="0"/>
        <w:adjustRightInd w:val="0"/>
        <w:spacing w:line="360" w:lineRule="auto"/>
        <w:ind w:left="0" w:firstLine="482" w:firstLineChars="200"/>
        <w:rPr>
          <w:rFonts w:ascii="宋体" w:hAnsi="宋体" w:eastAsia="宋体" w:cs="Times New Roman"/>
          <w:b/>
          <w:kern w:val="0"/>
          <w:sz w:val="24"/>
          <w:szCs w:val="32"/>
        </w:rPr>
      </w:pPr>
      <w:r>
        <w:rPr>
          <w:rFonts w:hint="eastAsia" w:ascii="宋体" w:hAnsi="宋体" w:eastAsia="宋体" w:cs="Times New Roman"/>
          <w:b/>
          <w:kern w:val="0"/>
          <w:sz w:val="24"/>
          <w:szCs w:val="32"/>
        </w:rPr>
        <w:t>投标数据文件（Excel格式）</w:t>
      </w:r>
    </w:p>
    <w:p>
      <w:pPr>
        <w:spacing w:line="360" w:lineRule="auto"/>
        <w:rPr>
          <w:rFonts w:ascii="宋体" w:hAnsi="宋体"/>
          <w:b/>
          <w:color w:val="auto"/>
          <w:kern w:val="0"/>
          <w:sz w:val="24"/>
          <w:szCs w:val="24"/>
        </w:rPr>
      </w:pPr>
      <w:r>
        <w:rPr>
          <w:rFonts w:hint="eastAsia" w:ascii="宋体" w:hAnsi="宋体"/>
          <w:b/>
          <w:color w:val="auto"/>
          <w:kern w:val="0"/>
          <w:sz w:val="24"/>
          <w:szCs w:val="24"/>
        </w:rPr>
        <w:t>在此，我方宣布同意如下：</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1．《开标一览表》中规定的应提交和交付的</w:t>
      </w:r>
      <w:r>
        <w:rPr>
          <w:rFonts w:hint="eastAsia" w:ascii="宋体" w:hAnsi="宋体"/>
          <w:color w:val="auto"/>
          <w:sz w:val="24"/>
          <w:szCs w:val="24"/>
          <w:u w:val="single"/>
        </w:rPr>
        <w:t xml:space="preserve">  （包号）  </w:t>
      </w:r>
      <w:r>
        <w:rPr>
          <w:rFonts w:hint="eastAsia" w:ascii="宋体" w:hAnsi="宋体"/>
          <w:color w:val="auto"/>
          <w:sz w:val="24"/>
          <w:szCs w:val="24"/>
        </w:rPr>
        <w:t>货物（工程或服务）投标总价为</w:t>
      </w:r>
      <w:r>
        <w:rPr>
          <w:rFonts w:hint="eastAsia" w:ascii="宋体" w:hAnsi="宋体"/>
          <w:color w:val="auto"/>
          <w:sz w:val="24"/>
          <w:szCs w:val="24"/>
          <w:u w:val="single"/>
        </w:rPr>
        <w:t>（注明币种，并用大写和小写表述投标总价）</w:t>
      </w:r>
      <w:r>
        <w:rPr>
          <w:rFonts w:hint="eastAsia" w:ascii="宋体" w:hAnsi="宋体"/>
          <w:color w:val="auto"/>
          <w:sz w:val="24"/>
          <w:szCs w:val="24"/>
        </w:rPr>
        <w:t>；</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2．按招标文件的约定履行合同责任和义务；</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3．已详细审查全部招标文件，包括</w:t>
      </w:r>
      <w:r>
        <w:rPr>
          <w:rFonts w:hint="eastAsia" w:ascii="宋体" w:hAnsi="宋体"/>
          <w:color w:val="auto"/>
          <w:sz w:val="24"/>
          <w:szCs w:val="24"/>
          <w:u w:val="single"/>
        </w:rPr>
        <w:t>（修正或补充文件）（如果有的话）</w:t>
      </w:r>
      <w:r>
        <w:rPr>
          <w:rFonts w:hint="eastAsia" w:ascii="宋体" w:hAnsi="宋体"/>
          <w:color w:val="auto"/>
          <w:sz w:val="24"/>
          <w:szCs w:val="24"/>
        </w:rPr>
        <w:t>，对此无异议；</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4．投标有效期为自</w:t>
      </w:r>
      <w:r>
        <w:rPr>
          <w:rFonts w:hint="eastAsia" w:ascii="宋体" w:hAnsi="宋体"/>
          <w:color w:val="auto"/>
          <w:kern w:val="0"/>
          <w:sz w:val="24"/>
        </w:rPr>
        <w:t>递交投标文件截止之日</w:t>
      </w:r>
      <w:r>
        <w:rPr>
          <w:rFonts w:hint="eastAsia" w:ascii="宋体" w:hAnsi="宋体"/>
          <w:color w:val="auto"/>
          <w:sz w:val="24"/>
          <w:szCs w:val="24"/>
        </w:rPr>
        <w:t>起，共90个日历日；</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5．接受招标文件关于不予退还投标保证金的约定；</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6．提供按照贵方可能要求的与投标有关的一切数据或资料；</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7．与投标有关的一切正式往来信函请寄：。</w:t>
      </w:r>
    </w:p>
    <w:p>
      <w:pPr>
        <w:autoSpaceDE w:val="0"/>
        <w:autoSpaceDN w:val="0"/>
        <w:adjustRightInd w:val="0"/>
        <w:spacing w:line="400" w:lineRule="exact"/>
        <w:ind w:right="246" w:firstLine="482" w:firstLineChars="200"/>
        <w:rPr>
          <w:rFonts w:ascii="宋体" w:hAnsi="宋体"/>
          <w:color w:val="auto"/>
          <w:kern w:val="0"/>
          <w:sz w:val="24"/>
          <w:szCs w:val="24"/>
        </w:rPr>
      </w:pP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投标人：</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地  址：</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电话/传真：电子邮件：</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投标人(公章)：</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投标人授权代表（签字）：</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日    期：</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开户银行：</w:t>
      </w:r>
    </w:p>
    <w:p>
      <w:pPr>
        <w:spacing w:line="360" w:lineRule="auto"/>
        <w:ind w:left="12" w:leftChars="6" w:firstLine="473" w:firstLineChars="197"/>
        <w:rPr>
          <w:rFonts w:ascii="宋体" w:hAnsi="宋体"/>
          <w:color w:val="auto"/>
          <w:sz w:val="24"/>
          <w:szCs w:val="24"/>
        </w:rPr>
      </w:pPr>
      <w:r>
        <w:rPr>
          <w:rFonts w:hint="eastAsia" w:ascii="宋体" w:hAnsi="宋体"/>
          <w:color w:val="auto"/>
          <w:sz w:val="24"/>
          <w:szCs w:val="24"/>
        </w:rPr>
        <w:t>帐号/行号：</w:t>
      </w:r>
    </w:p>
    <w:p>
      <w:pPr>
        <w:rPr>
          <w:color w:val="auto"/>
        </w:rPr>
      </w:pPr>
      <w:r>
        <w:rPr>
          <w:color w:val="auto"/>
        </w:rPr>
        <w:br w:type="page"/>
      </w:r>
    </w:p>
    <w:p>
      <w:pPr>
        <w:pStyle w:val="4"/>
        <w:numPr>
          <w:ilvl w:val="0"/>
          <w:numId w:val="53"/>
        </w:numPr>
        <w:spacing w:before="100" w:beforeAutospacing="1" w:after="158" w:afterLines="50" w:line="360" w:lineRule="auto"/>
        <w:jc w:val="left"/>
        <w:rPr>
          <w:rFonts w:ascii="Microsoft YaHei UI" w:hAnsi="Microsoft YaHei UI" w:eastAsia="Microsoft YaHei UI" w:cs="Microsoft YaHei UI"/>
          <w:b w:val="0"/>
          <w:color w:val="auto"/>
          <w:spacing w:val="8"/>
        </w:rPr>
      </w:pPr>
      <w:bookmarkStart w:id="123" w:name="_Toc494702272"/>
      <w:bookmarkStart w:id="124" w:name="_Toc494665002"/>
      <w:bookmarkStart w:id="125" w:name="_Toc494665555"/>
      <w:bookmarkStart w:id="126" w:name="_Toc494721102"/>
      <w:bookmarkStart w:id="127" w:name="_Toc494745319"/>
      <w:bookmarkStart w:id="128" w:name="_Toc494665952"/>
      <w:r>
        <w:rPr>
          <w:rFonts w:hint="eastAsia" w:ascii="宋体" w:hAnsi="宋体"/>
          <w:color w:val="auto"/>
        </w:rPr>
        <w:t xml:space="preserve">           </w:t>
      </w:r>
      <w:bookmarkEnd w:id="123"/>
      <w:bookmarkEnd w:id="124"/>
      <w:bookmarkEnd w:id="125"/>
      <w:bookmarkEnd w:id="126"/>
      <w:bookmarkEnd w:id="127"/>
      <w:bookmarkEnd w:id="128"/>
      <w:bookmarkStart w:id="129" w:name="_Toc28812"/>
      <w:r>
        <w:rPr>
          <w:rStyle w:val="34"/>
          <w:rFonts w:hint="eastAsia" w:ascii="宋体" w:hAnsi="宋体" w:cs="宋体"/>
          <w:b/>
          <w:color w:val="auto"/>
          <w:spacing w:val="8"/>
          <w:shd w:val="clear" w:color="auto" w:fill="FFFFFF"/>
        </w:rPr>
        <w:t>中小企业声明函（货物）</w:t>
      </w:r>
      <w:bookmarkEnd w:id="129"/>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本公司（联合体）郑重声明，根据《政府采购促进中小企业发展管理办法》（财库﹝2020﹞46 号）的规定，本公司（联合体）参加</w:t>
      </w:r>
      <w:r>
        <w:rPr>
          <w:rFonts w:hint="eastAsia" w:ascii="宋体" w:hAnsi="宋体" w:cs="宋体"/>
          <w:color w:val="auto"/>
          <w:spacing w:val="8"/>
          <w:szCs w:val="24"/>
          <w:u w:val="single"/>
          <w:shd w:val="clear" w:color="auto" w:fill="FFFFFF"/>
        </w:rPr>
        <w:t>（单位名称）</w:t>
      </w:r>
      <w:r>
        <w:rPr>
          <w:rFonts w:hint="eastAsia" w:ascii="宋体" w:hAnsi="宋体" w:cs="宋体"/>
          <w:color w:val="auto"/>
          <w:spacing w:val="8"/>
          <w:szCs w:val="24"/>
          <w:shd w:val="clear" w:color="auto" w:fill="FFFFFF"/>
        </w:rPr>
        <w:t>的</w:t>
      </w:r>
      <w:r>
        <w:rPr>
          <w:rFonts w:hint="eastAsia" w:ascii="宋体" w:hAnsi="宋体" w:cs="宋体"/>
          <w:color w:val="auto"/>
          <w:spacing w:val="8"/>
          <w:szCs w:val="24"/>
          <w:u w:val="single"/>
          <w:shd w:val="clear" w:color="auto" w:fill="FFFFFF"/>
        </w:rPr>
        <w:t>（项目名称）</w:t>
      </w:r>
      <w:r>
        <w:rPr>
          <w:rFonts w:hint="eastAsia" w:ascii="宋体" w:hAnsi="宋体" w:cs="宋体"/>
          <w:color w:val="auto"/>
          <w:spacing w:val="8"/>
          <w:szCs w:val="24"/>
          <w:shd w:val="clear" w:color="auto" w:fill="FFFFFF"/>
        </w:rPr>
        <w:t>采购活动，提供的货物全部由符合政策要求的中小企业制造。相关企业（含联合体中的中小企业、签订分包意向协议的中小企业） 的具体情况如下：</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1.</w:t>
      </w:r>
      <w:r>
        <w:rPr>
          <w:rFonts w:hint="eastAsia" w:ascii="宋体" w:hAnsi="宋体" w:cs="宋体"/>
          <w:color w:val="auto"/>
          <w:spacing w:val="8"/>
          <w:szCs w:val="24"/>
          <w:u w:val="single"/>
          <w:shd w:val="clear" w:color="auto" w:fill="FFFFFF"/>
        </w:rPr>
        <w:t> （标的名称） </w:t>
      </w:r>
      <w:r>
        <w:rPr>
          <w:rFonts w:hint="eastAsia" w:ascii="宋体" w:hAnsi="宋体" w:cs="宋体"/>
          <w:color w:val="auto"/>
          <w:spacing w:val="8"/>
          <w:szCs w:val="24"/>
          <w:shd w:val="clear" w:color="auto" w:fill="FFFFFF"/>
        </w:rPr>
        <w:t>，属于（采购文件中明确的所属行业）行业；制造商为</w:t>
      </w:r>
      <w:r>
        <w:rPr>
          <w:rFonts w:hint="eastAsia" w:ascii="宋体" w:hAnsi="宋体" w:cs="宋体"/>
          <w:color w:val="auto"/>
          <w:spacing w:val="8"/>
          <w:szCs w:val="24"/>
          <w:u w:val="single"/>
          <w:shd w:val="clear" w:color="auto" w:fill="FFFFFF"/>
        </w:rPr>
        <w:t>（企业名称）</w:t>
      </w:r>
      <w:r>
        <w:rPr>
          <w:rFonts w:hint="eastAsia" w:ascii="宋体" w:hAnsi="宋体" w:cs="宋体"/>
          <w:color w:val="auto"/>
          <w:spacing w:val="8"/>
          <w:szCs w:val="24"/>
          <w:shd w:val="clear" w:color="auto" w:fill="FFFFFF"/>
        </w:rPr>
        <w:t>，从业人员</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人，营业收入为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万元，资产总额为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万元，属于</w:t>
      </w:r>
      <w:r>
        <w:rPr>
          <w:rFonts w:hint="eastAsia" w:ascii="宋体" w:hAnsi="宋体" w:cs="宋体"/>
          <w:color w:val="auto"/>
          <w:spacing w:val="8"/>
          <w:szCs w:val="24"/>
          <w:u w:val="single"/>
          <w:shd w:val="clear" w:color="auto" w:fill="FFFFFF"/>
        </w:rPr>
        <w:t>（中型企业、小型企业、微型企业）</w:t>
      </w: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 xml:space="preserve">2. </w:t>
      </w:r>
      <w:r>
        <w:rPr>
          <w:rFonts w:hint="eastAsia" w:ascii="宋体" w:hAnsi="宋体" w:cs="宋体"/>
          <w:color w:val="auto"/>
          <w:spacing w:val="8"/>
          <w:szCs w:val="24"/>
          <w:u w:val="single"/>
          <w:shd w:val="clear" w:color="auto" w:fill="FFFFFF"/>
        </w:rPr>
        <w:t>（标的名称）  </w:t>
      </w:r>
      <w:r>
        <w:rPr>
          <w:rFonts w:hint="eastAsia" w:ascii="宋体" w:hAnsi="宋体" w:cs="宋体"/>
          <w:color w:val="auto"/>
          <w:spacing w:val="8"/>
          <w:szCs w:val="24"/>
          <w:shd w:val="clear" w:color="auto" w:fill="FFFFFF"/>
        </w:rPr>
        <w:t>，属于（采购文件中明确的所属行业）行业；制造商为</w:t>
      </w:r>
      <w:r>
        <w:rPr>
          <w:rFonts w:hint="eastAsia" w:ascii="宋体" w:hAnsi="宋体" w:cs="宋体"/>
          <w:color w:val="auto"/>
          <w:spacing w:val="8"/>
          <w:szCs w:val="24"/>
          <w:u w:val="single"/>
          <w:shd w:val="clear" w:color="auto" w:fill="FFFFFF"/>
        </w:rPr>
        <w:t>（企业名称）</w:t>
      </w:r>
      <w:r>
        <w:rPr>
          <w:rFonts w:hint="eastAsia" w:ascii="宋体" w:hAnsi="宋体" w:cs="宋体"/>
          <w:color w:val="auto"/>
          <w:spacing w:val="8"/>
          <w:szCs w:val="24"/>
          <w:shd w:val="clear" w:color="auto" w:fill="FFFFFF"/>
        </w:rPr>
        <w:t>，从业人员</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人，营业收入为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万元，资产总额为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万元，属于</w:t>
      </w:r>
      <w:r>
        <w:rPr>
          <w:rFonts w:hint="eastAsia" w:ascii="宋体" w:hAnsi="宋体" w:cs="宋体"/>
          <w:color w:val="auto"/>
          <w:spacing w:val="8"/>
          <w:szCs w:val="24"/>
          <w:u w:val="single"/>
          <w:shd w:val="clear" w:color="auto" w:fill="FFFFFF"/>
        </w:rPr>
        <w:t>（中型企业、小型企业、微型企业）</w:t>
      </w: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以上企业，不属于大企业的分支机构，不存在控股股东为大企业的情形，也不存在与大企业的负责人为同一人的情形。</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本企业对上述声明内容的真实性负责。如有虚假，将依法承担相应责任。</w:t>
      </w:r>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4883" w:firstLineChars="19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4883" w:firstLineChars="19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4883" w:firstLineChars="19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lang w:eastAsia="zh-CN"/>
        </w:rPr>
        <w:t>投标人</w:t>
      </w:r>
      <w:r>
        <w:rPr>
          <w:rFonts w:hint="eastAsia" w:ascii="宋体" w:hAnsi="宋体" w:cs="宋体"/>
          <w:color w:val="auto"/>
          <w:spacing w:val="8"/>
          <w:szCs w:val="24"/>
          <w:shd w:val="clear" w:color="auto" w:fill="FFFFFF"/>
        </w:rPr>
        <w:t>名称（盖章）</w:t>
      </w:r>
    </w:p>
    <w:p>
      <w:pPr>
        <w:pStyle w:val="26"/>
        <w:widowControl/>
        <w:shd w:val="clear" w:color="auto" w:fill="FFFFFF"/>
        <w:spacing w:beforeAutospacing="0" w:afterAutospacing="0" w:line="360" w:lineRule="auto"/>
        <w:ind w:firstLine="4883" w:firstLineChars="1900"/>
        <w:jc w:val="both"/>
        <w:rPr>
          <w:rFonts w:ascii="宋体" w:hAnsi="宋体" w:cs="宋体"/>
          <w:color w:val="auto"/>
          <w:spacing w:val="8"/>
          <w:szCs w:val="24"/>
          <w:shd w:val="clear" w:color="auto" w:fill="FFFFFF"/>
        </w:rPr>
      </w:pPr>
      <w:r>
        <w:rPr>
          <w:rFonts w:hint="eastAsia" w:ascii="宋体" w:hAnsi="宋体" w:cs="宋体"/>
          <w:color w:val="auto"/>
          <w:spacing w:val="8"/>
          <w:szCs w:val="24"/>
          <w:shd w:val="clear" w:color="auto" w:fill="FFFFFF"/>
        </w:rPr>
        <w:t>日期：</w:t>
      </w:r>
    </w:p>
    <w:p>
      <w:pPr>
        <w:rPr>
          <w:color w:val="auto"/>
        </w:rPr>
      </w:pPr>
      <w:r>
        <w:rPr>
          <w:color w:val="auto"/>
        </w:rPr>
        <w:br w:type="page"/>
      </w:r>
    </w:p>
    <w:p>
      <w:pPr>
        <w:pStyle w:val="4"/>
        <w:numPr>
          <w:ilvl w:val="0"/>
          <w:numId w:val="53"/>
        </w:numPr>
        <w:spacing w:before="100" w:beforeAutospacing="1" w:after="158" w:afterLines="50" w:line="360" w:lineRule="auto"/>
        <w:jc w:val="left"/>
        <w:rPr>
          <w:rFonts w:ascii="Microsoft YaHei UI" w:hAnsi="Microsoft YaHei UI" w:eastAsia="Microsoft YaHei UI" w:cs="Microsoft YaHei UI"/>
          <w:bCs w:val="0"/>
          <w:color w:val="auto"/>
          <w:spacing w:val="8"/>
          <w:sz w:val="24"/>
          <w:szCs w:val="24"/>
        </w:rPr>
      </w:pPr>
      <w:bookmarkStart w:id="130" w:name="_Toc456264006"/>
      <w:bookmarkStart w:id="131" w:name="_Toc494721103"/>
      <w:bookmarkStart w:id="132" w:name="_Toc494702273"/>
      <w:bookmarkStart w:id="133" w:name="_Toc494665556"/>
      <w:bookmarkStart w:id="134" w:name="_Toc494745320"/>
      <w:bookmarkStart w:id="135" w:name="_Toc494665953"/>
      <w:bookmarkStart w:id="136" w:name="_Toc494665003"/>
      <w:r>
        <w:rPr>
          <w:rFonts w:hint="eastAsia" w:ascii="宋体" w:hAnsi="宋体"/>
          <w:color w:val="auto"/>
        </w:rPr>
        <w:t xml:space="preserve">             </w:t>
      </w:r>
      <w:bookmarkEnd w:id="130"/>
      <w:bookmarkEnd w:id="131"/>
      <w:bookmarkEnd w:id="132"/>
      <w:bookmarkEnd w:id="133"/>
      <w:bookmarkEnd w:id="134"/>
      <w:bookmarkEnd w:id="135"/>
      <w:bookmarkEnd w:id="136"/>
      <w:bookmarkStart w:id="137" w:name="_Toc19376"/>
      <w:r>
        <w:rPr>
          <w:rStyle w:val="34"/>
          <w:rFonts w:hint="eastAsia" w:ascii="宋体" w:hAnsi="宋体" w:cs="宋体"/>
          <w:b/>
          <w:bCs w:val="0"/>
          <w:color w:val="auto"/>
          <w:spacing w:val="8"/>
          <w:shd w:val="clear" w:color="auto" w:fill="FFFFFF"/>
        </w:rPr>
        <w:t>中小企业声明函（工程、服务）</w:t>
      </w:r>
      <w:bookmarkEnd w:id="137"/>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本公司（联合体）郑重声明，根据《政府采购促进中小企业发展管理办法》（财库﹝2020﹞46 号）的规定，本公司（联合体）参加</w:t>
      </w:r>
      <w:r>
        <w:rPr>
          <w:rFonts w:hint="eastAsia" w:ascii="宋体" w:hAnsi="宋体" w:cs="宋体"/>
          <w:color w:val="auto"/>
          <w:spacing w:val="8"/>
          <w:szCs w:val="24"/>
          <w:u w:val="single"/>
          <w:shd w:val="clear" w:color="auto" w:fill="FFFFFF"/>
        </w:rPr>
        <w:t>（单位名称）</w:t>
      </w:r>
      <w:r>
        <w:rPr>
          <w:rFonts w:hint="eastAsia" w:ascii="宋体" w:hAnsi="宋体" w:cs="宋体"/>
          <w:color w:val="auto"/>
          <w:spacing w:val="8"/>
          <w:szCs w:val="24"/>
          <w:shd w:val="clear" w:color="auto" w:fill="FFFFFF"/>
        </w:rPr>
        <w:t>的</w:t>
      </w:r>
      <w:r>
        <w:rPr>
          <w:rFonts w:hint="eastAsia" w:ascii="宋体" w:hAnsi="宋体" w:cs="宋体"/>
          <w:color w:val="auto"/>
          <w:spacing w:val="8"/>
          <w:szCs w:val="24"/>
          <w:u w:val="single"/>
          <w:shd w:val="clear" w:color="auto" w:fill="FFFFFF"/>
        </w:rPr>
        <w:t>（项目名称）</w:t>
      </w:r>
      <w:r>
        <w:rPr>
          <w:rFonts w:hint="eastAsia" w:ascii="宋体" w:hAnsi="宋体" w:cs="宋体"/>
          <w:color w:val="auto"/>
          <w:spacing w:val="8"/>
          <w:szCs w:val="24"/>
          <w:shd w:val="clear" w:color="auto" w:fill="FFFFFF"/>
        </w:rPr>
        <w:t>采购活动，工程的施工单位全部为符合政策要求的中小企业（或者：服务全部由符合政策要求的中小企业承接）。相关企业（含联合 体中的中小企业、签订分包意向协议的中小企业）的具体情况如下：</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1.</w:t>
      </w:r>
      <w:r>
        <w:rPr>
          <w:rFonts w:hint="eastAsia" w:ascii="宋体" w:hAnsi="宋体" w:cs="宋体"/>
          <w:color w:val="auto"/>
          <w:spacing w:val="8"/>
          <w:szCs w:val="24"/>
          <w:u w:val="single"/>
          <w:shd w:val="clear" w:color="auto" w:fill="FFFFFF"/>
        </w:rPr>
        <w:t>（标的名称）</w:t>
      </w:r>
      <w:r>
        <w:rPr>
          <w:rFonts w:hint="eastAsia" w:ascii="宋体" w:hAnsi="宋体" w:cs="宋体"/>
          <w:color w:val="auto"/>
          <w:spacing w:val="8"/>
          <w:szCs w:val="24"/>
          <w:shd w:val="clear" w:color="auto" w:fill="FFFFFF"/>
        </w:rPr>
        <w:t>，属于（采购文件中明确的所属行业）；承建（承接）企业为</w:t>
      </w:r>
      <w:r>
        <w:rPr>
          <w:rFonts w:hint="eastAsia" w:ascii="宋体" w:hAnsi="宋体" w:cs="宋体"/>
          <w:color w:val="auto"/>
          <w:spacing w:val="8"/>
          <w:szCs w:val="24"/>
          <w:u w:val="single"/>
          <w:shd w:val="clear" w:color="auto" w:fill="FFFFFF"/>
        </w:rPr>
        <w:t>（企业名称）</w:t>
      </w:r>
      <w:r>
        <w:rPr>
          <w:rFonts w:hint="eastAsia" w:ascii="宋体" w:hAnsi="宋体" w:cs="宋体"/>
          <w:color w:val="auto"/>
          <w:spacing w:val="8"/>
          <w:szCs w:val="24"/>
          <w:shd w:val="clear" w:color="auto" w:fill="FFFFFF"/>
        </w:rPr>
        <w:t>，从业人员</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人，营业收入为 万元，资产总额为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万元，属于</w:t>
      </w:r>
      <w:r>
        <w:rPr>
          <w:rFonts w:hint="eastAsia" w:ascii="宋体" w:hAnsi="宋体" w:cs="宋体"/>
          <w:color w:val="auto"/>
          <w:spacing w:val="8"/>
          <w:szCs w:val="24"/>
          <w:u w:val="single"/>
          <w:shd w:val="clear" w:color="auto" w:fill="FFFFFF"/>
        </w:rPr>
        <w:t>（中型企业、小型企业、微型企业）</w:t>
      </w: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2.</w:t>
      </w:r>
      <w:r>
        <w:rPr>
          <w:rFonts w:hint="eastAsia" w:ascii="宋体" w:hAnsi="宋体" w:cs="宋体"/>
          <w:color w:val="auto"/>
          <w:spacing w:val="8"/>
          <w:szCs w:val="24"/>
          <w:u w:val="single"/>
          <w:shd w:val="clear" w:color="auto" w:fill="FFFFFF"/>
        </w:rPr>
        <w:t>（标的名称）</w:t>
      </w:r>
      <w:r>
        <w:rPr>
          <w:rFonts w:hint="eastAsia" w:ascii="宋体" w:hAnsi="宋体" w:cs="宋体"/>
          <w:color w:val="auto"/>
          <w:spacing w:val="8"/>
          <w:szCs w:val="24"/>
          <w:shd w:val="clear" w:color="auto" w:fill="FFFFFF"/>
        </w:rPr>
        <w:t>，属于（采购文件中明确的所属行业）；承建（承接）企业为</w:t>
      </w:r>
      <w:r>
        <w:rPr>
          <w:rFonts w:hint="eastAsia" w:ascii="宋体" w:hAnsi="宋体" w:cs="宋体"/>
          <w:color w:val="auto"/>
          <w:spacing w:val="8"/>
          <w:szCs w:val="24"/>
          <w:u w:val="single"/>
          <w:shd w:val="clear" w:color="auto" w:fill="FFFFFF"/>
        </w:rPr>
        <w:t>（企业名称）</w:t>
      </w:r>
      <w:r>
        <w:rPr>
          <w:rFonts w:hint="eastAsia" w:ascii="宋体" w:hAnsi="宋体" w:cs="宋体"/>
          <w:color w:val="auto"/>
          <w:spacing w:val="8"/>
          <w:szCs w:val="24"/>
          <w:shd w:val="clear" w:color="auto" w:fill="FFFFFF"/>
        </w:rPr>
        <w:t>，从业人员</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人，营业收入为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万元，资产总额为</w:t>
      </w:r>
      <w:r>
        <w:rPr>
          <w:rFonts w:hint="eastAsia" w:ascii="宋体" w:hAnsi="宋体" w:cs="宋体"/>
          <w:color w:val="auto"/>
          <w:spacing w:val="8"/>
          <w:szCs w:val="24"/>
          <w:u w:val="single"/>
          <w:shd w:val="clear" w:color="auto" w:fill="FFFFFF"/>
        </w:rPr>
        <w:t> </w:t>
      </w:r>
      <w:r>
        <w:rPr>
          <w:rFonts w:hint="eastAsia" w:ascii="宋体" w:hAnsi="宋体" w:cs="宋体"/>
          <w:color w:val="auto"/>
          <w:spacing w:val="8"/>
          <w:szCs w:val="24"/>
          <w:shd w:val="clear" w:color="auto" w:fill="FFFFFF"/>
        </w:rPr>
        <w:t>万元，属于</w:t>
      </w:r>
      <w:r>
        <w:rPr>
          <w:rFonts w:hint="eastAsia" w:ascii="宋体" w:hAnsi="宋体" w:cs="宋体"/>
          <w:color w:val="auto"/>
          <w:spacing w:val="8"/>
          <w:szCs w:val="24"/>
          <w:u w:val="single"/>
          <w:shd w:val="clear" w:color="auto" w:fill="FFFFFF"/>
        </w:rPr>
        <w:t>（中型企业、小型企业、微型企业）</w:t>
      </w: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以上企业，不属于大企业的分支机构，不存在控股股东为大企业的情形，也不存在与大企业的负责人为同一人的情形。</w:t>
      </w:r>
    </w:p>
    <w:p>
      <w:pPr>
        <w:pStyle w:val="26"/>
        <w:widowControl/>
        <w:shd w:val="clear" w:color="auto" w:fill="FFFFFF"/>
        <w:spacing w:beforeAutospacing="0" w:afterAutospacing="0" w:line="360" w:lineRule="auto"/>
        <w:ind w:firstLine="514" w:firstLineChars="2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本企业对上述声明内容的真实性负责。如有虚假，将依法承担相应责任。</w:t>
      </w:r>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514" w:firstLineChars="200"/>
        <w:jc w:val="both"/>
        <w:rPr>
          <w:rFonts w:ascii="宋体" w:hAnsi="宋体" w:cs="宋体"/>
          <w:color w:val="auto"/>
          <w:spacing w:val="8"/>
          <w:szCs w:val="24"/>
          <w:shd w:val="clear" w:color="auto" w:fill="FFFFFF"/>
        </w:rPr>
      </w:pPr>
    </w:p>
    <w:p>
      <w:pPr>
        <w:pStyle w:val="26"/>
        <w:widowControl/>
        <w:shd w:val="clear" w:color="auto" w:fill="FFFFFF"/>
        <w:spacing w:beforeAutospacing="0" w:afterAutospacing="0" w:line="360" w:lineRule="auto"/>
        <w:ind w:firstLine="5140" w:firstLineChars="20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lang w:eastAsia="zh-CN"/>
        </w:rPr>
        <w:t>投标人</w:t>
      </w:r>
      <w:r>
        <w:rPr>
          <w:rFonts w:hint="eastAsia" w:ascii="宋体" w:hAnsi="宋体" w:cs="宋体"/>
          <w:color w:val="auto"/>
          <w:spacing w:val="8"/>
          <w:szCs w:val="24"/>
          <w:shd w:val="clear" w:color="auto" w:fill="FFFFFF"/>
        </w:rPr>
        <w:t>名称（盖章）：</w:t>
      </w:r>
    </w:p>
    <w:p>
      <w:pPr>
        <w:pStyle w:val="26"/>
        <w:widowControl/>
        <w:shd w:val="clear" w:color="auto" w:fill="FFFFFF"/>
        <w:spacing w:beforeAutospacing="0" w:afterAutospacing="0" w:line="360" w:lineRule="auto"/>
        <w:ind w:firstLine="5397" w:firstLineChars="2100"/>
        <w:jc w:val="both"/>
        <w:rPr>
          <w:rFonts w:ascii="Microsoft YaHei UI" w:hAnsi="Microsoft YaHei UI" w:eastAsia="Microsoft YaHei UI" w:cs="Microsoft YaHei UI"/>
          <w:color w:val="auto"/>
          <w:spacing w:val="8"/>
          <w:szCs w:val="24"/>
        </w:rPr>
      </w:pPr>
      <w:r>
        <w:rPr>
          <w:rFonts w:hint="eastAsia" w:ascii="宋体" w:hAnsi="宋体" w:cs="宋体"/>
          <w:color w:val="auto"/>
          <w:spacing w:val="8"/>
          <w:szCs w:val="24"/>
          <w:shd w:val="clear" w:color="auto" w:fill="FFFFFF"/>
        </w:rPr>
        <w:t>日期：</w:t>
      </w:r>
    </w:p>
    <w:p>
      <w:pPr>
        <w:spacing w:before="100" w:beforeAutospacing="1" w:after="100" w:afterAutospacing="1" w:line="360" w:lineRule="auto"/>
        <w:ind w:firstLine="3329" w:firstLineChars="1382"/>
        <w:rPr>
          <w:rFonts w:ascii="宋体" w:hAnsi="宋体"/>
          <w:b/>
          <w:bCs/>
          <w:color w:val="auto"/>
          <w:sz w:val="24"/>
          <w:szCs w:val="21"/>
        </w:rPr>
      </w:pPr>
    </w:p>
    <w:p>
      <w:pPr>
        <w:spacing w:before="100" w:beforeAutospacing="1" w:after="100" w:afterAutospacing="1" w:line="360" w:lineRule="auto"/>
        <w:ind w:firstLine="3329" w:firstLineChars="1382"/>
        <w:rPr>
          <w:rFonts w:ascii="宋体" w:hAnsi="宋体"/>
          <w:b/>
          <w:bCs/>
          <w:color w:val="auto"/>
          <w:sz w:val="24"/>
          <w:szCs w:val="21"/>
        </w:rPr>
      </w:pPr>
    </w:p>
    <w:p>
      <w:pPr>
        <w:spacing w:before="100" w:beforeAutospacing="1" w:after="100" w:afterAutospacing="1" w:line="360" w:lineRule="auto"/>
        <w:ind w:firstLine="3329" w:firstLineChars="1382"/>
        <w:rPr>
          <w:rFonts w:ascii="宋体" w:hAnsi="宋体"/>
          <w:b/>
          <w:bCs/>
          <w:color w:val="auto"/>
          <w:sz w:val="24"/>
          <w:szCs w:val="21"/>
        </w:rPr>
      </w:pPr>
    </w:p>
    <w:p>
      <w:pPr>
        <w:pStyle w:val="30"/>
        <w:ind w:left="423" w:firstLine="423"/>
        <w:rPr>
          <w:color w:val="auto"/>
        </w:rPr>
      </w:pPr>
    </w:p>
    <w:p>
      <w:pPr>
        <w:pStyle w:val="4"/>
        <w:numPr>
          <w:ilvl w:val="0"/>
          <w:numId w:val="53"/>
        </w:numPr>
        <w:spacing w:before="100" w:beforeAutospacing="1" w:after="158" w:afterLines="50" w:line="360" w:lineRule="auto"/>
        <w:jc w:val="left"/>
        <w:rPr>
          <w:rFonts w:ascii="宋体" w:hAnsi="宋体"/>
          <w:b w:val="0"/>
          <w:color w:val="auto"/>
          <w:sz w:val="30"/>
          <w:szCs w:val="30"/>
        </w:rPr>
      </w:pPr>
      <w:r>
        <w:rPr>
          <w:rFonts w:hint="eastAsia" w:ascii="宋体" w:hAnsi="宋体"/>
          <w:color w:val="auto"/>
        </w:rPr>
        <w:t xml:space="preserve">            </w:t>
      </w:r>
      <w:bookmarkStart w:id="138" w:name="_Toc20571"/>
      <w:r>
        <w:rPr>
          <w:rFonts w:hint="eastAsia" w:ascii="宋体" w:hAnsi="宋体"/>
          <w:color w:val="auto"/>
        </w:rPr>
        <w:t>残疾人福利性单位声明函</w:t>
      </w:r>
      <w:bookmarkEnd w:id="138"/>
    </w:p>
    <w:p>
      <w:pPr>
        <w:adjustRightInd w:val="0"/>
        <w:snapToGrid w:val="0"/>
        <w:spacing w:before="158" w:beforeLines="50" w:after="158" w:afterLines="50"/>
        <w:jc w:val="center"/>
        <w:rPr>
          <w:rFonts w:ascii="宋体" w:hAnsi="Courier New"/>
          <w:color w:val="auto"/>
          <w:sz w:val="24"/>
          <w:szCs w:val="21"/>
        </w:rPr>
      </w:pPr>
      <w:r>
        <w:rPr>
          <w:rFonts w:hint="eastAsia" w:ascii="宋体" w:hAnsi="Courier New"/>
          <w:color w:val="auto"/>
          <w:sz w:val="24"/>
          <w:szCs w:val="21"/>
        </w:rPr>
        <w:t>（适用于货物类项目）</w:t>
      </w:r>
    </w:p>
    <w:p>
      <w:pPr>
        <w:pStyle w:val="16"/>
        <w:spacing w:line="360" w:lineRule="auto"/>
        <w:rPr>
          <w:rFonts w:hAnsi="宋体"/>
          <w:b/>
          <w:color w:val="auto"/>
          <w:sz w:val="28"/>
          <w:szCs w:val="28"/>
        </w:rPr>
      </w:pPr>
      <w:r>
        <w:rPr>
          <w:rFonts w:hint="eastAsia" w:hAnsi="宋体"/>
          <w:b/>
          <w:color w:val="auto"/>
          <w:sz w:val="28"/>
          <w:szCs w:val="28"/>
        </w:rPr>
        <w:t>潜江市政府采购中心：</w:t>
      </w:r>
    </w:p>
    <w:p>
      <w:pPr>
        <w:pStyle w:val="16"/>
        <w:spacing w:line="360" w:lineRule="auto"/>
        <w:ind w:firstLine="476" w:firstLineChars="198"/>
        <w:jc w:val="left"/>
        <w:rPr>
          <w:rFonts w:hAnsi="宋体"/>
          <w:color w:val="auto"/>
          <w:sz w:val="24"/>
        </w:rPr>
      </w:pPr>
      <w:r>
        <w:rPr>
          <w:rFonts w:hint="eastAsia" w:hAnsi="宋体"/>
          <w:color w:val="auto"/>
          <w:sz w:val="24"/>
        </w:rPr>
        <w:t>本单位郑重声明，根据《财政部 民政部 中国残疾人联合会关于促进残疾人就业政府采购政策的通知》（财库〔2017〕141号）的规定，本单位为符合条件的残疾人福利性单位（详见“残疾人福利性单位应当满足的条件”）。</w:t>
      </w:r>
    </w:p>
    <w:p>
      <w:pPr>
        <w:pStyle w:val="16"/>
        <w:spacing w:line="360" w:lineRule="auto"/>
        <w:ind w:firstLine="476" w:firstLineChars="198"/>
        <w:jc w:val="left"/>
        <w:rPr>
          <w:rFonts w:hAnsi="宋体"/>
          <w:color w:val="auto"/>
          <w:sz w:val="24"/>
        </w:rPr>
      </w:pPr>
      <w:r>
        <w:rPr>
          <w:rFonts w:hint="eastAsia" w:hAnsi="宋体"/>
          <w:color w:val="auto"/>
          <w:sz w:val="24"/>
        </w:rPr>
        <w:t>1.本单位授权</w:t>
      </w:r>
      <w:r>
        <w:rPr>
          <w:rFonts w:hint="eastAsia" w:hAnsi="宋体"/>
          <w:color w:val="auto"/>
          <w:sz w:val="24"/>
          <w:u w:val="single"/>
        </w:rPr>
        <w:t xml:space="preserve">（投标人） </w:t>
      </w:r>
      <w:r>
        <w:rPr>
          <w:rFonts w:hint="eastAsia" w:hAnsi="宋体"/>
          <w:color w:val="auto"/>
          <w:sz w:val="24"/>
        </w:rPr>
        <w:t>参加_</w:t>
      </w:r>
      <w:r>
        <w:rPr>
          <w:rFonts w:hint="eastAsia" w:hAnsi="宋体"/>
          <w:color w:val="auto"/>
          <w:sz w:val="24"/>
          <w:u w:val="single"/>
        </w:rPr>
        <w:t>（采购人）</w:t>
      </w:r>
      <w:r>
        <w:rPr>
          <w:rFonts w:hint="eastAsia" w:hAnsi="宋体"/>
          <w:color w:val="auto"/>
          <w:sz w:val="24"/>
        </w:rPr>
        <w:t>的__</w:t>
      </w:r>
      <w:r>
        <w:rPr>
          <w:rFonts w:hint="eastAsia" w:hAnsi="宋体"/>
          <w:color w:val="auto"/>
          <w:sz w:val="24"/>
          <w:u w:val="single"/>
        </w:rPr>
        <w:t>_ _</w:t>
      </w:r>
      <w:r>
        <w:rPr>
          <w:rFonts w:hint="eastAsia" w:hAnsi="宋体"/>
          <w:color w:val="auto"/>
          <w:sz w:val="24"/>
        </w:rPr>
        <w:t>项目（项目编号：_____）采购活动提供本单位制造的货物。本条所称货物不包括使用非残疾人福利性单位注册商标的货物。</w:t>
      </w:r>
    </w:p>
    <w:p>
      <w:pPr>
        <w:spacing w:line="360" w:lineRule="auto"/>
        <w:ind w:firstLine="482" w:firstLineChars="200"/>
        <w:rPr>
          <w:rFonts w:ascii="宋体" w:hAnsi="宋体"/>
          <w:bCs/>
          <w:color w:val="auto"/>
          <w:sz w:val="24"/>
        </w:rPr>
      </w:pPr>
      <w:r>
        <w:rPr>
          <w:rFonts w:hint="eastAsia" w:ascii="宋体" w:hAnsi="宋体"/>
          <w:bCs/>
          <w:color w:val="auto"/>
          <w:sz w:val="24"/>
        </w:rPr>
        <w:t>2.由本单位制造的货物清单见下表：</w:t>
      </w:r>
    </w:p>
    <w:tbl>
      <w:tblPr>
        <w:tblStyle w:val="31"/>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序号</w:t>
            </w:r>
          </w:p>
        </w:tc>
        <w:tc>
          <w:tcPr>
            <w:tcW w:w="2414"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名称</w:t>
            </w:r>
          </w:p>
        </w:tc>
        <w:tc>
          <w:tcPr>
            <w:tcW w:w="1224"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品牌规格型号</w:t>
            </w:r>
          </w:p>
        </w:tc>
        <w:tc>
          <w:tcPr>
            <w:tcW w:w="907"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数量</w:t>
            </w:r>
          </w:p>
        </w:tc>
        <w:tc>
          <w:tcPr>
            <w:tcW w:w="1278"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单价(元)</w:t>
            </w:r>
          </w:p>
        </w:tc>
        <w:tc>
          <w:tcPr>
            <w:tcW w:w="1843"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分项合计(元)</w:t>
            </w:r>
          </w:p>
        </w:tc>
        <w:tc>
          <w:tcPr>
            <w:tcW w:w="1228" w:type="dxa"/>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5"/>
              </w:numPr>
              <w:tabs>
                <w:tab w:val="left" w:pos="82"/>
              </w:tabs>
              <w:adjustRightInd w:val="0"/>
              <w:snapToGrid w:val="0"/>
              <w:jc w:val="center"/>
              <w:rPr>
                <w:rFonts w:ascii="宋体" w:hAnsi="宋体"/>
                <w:color w:val="auto"/>
                <w:sz w:val="24"/>
              </w:rPr>
            </w:pPr>
          </w:p>
        </w:tc>
        <w:tc>
          <w:tcPr>
            <w:tcW w:w="2414" w:type="dxa"/>
            <w:vAlign w:val="center"/>
          </w:tcPr>
          <w:p>
            <w:pPr>
              <w:spacing w:line="240" w:lineRule="atLeast"/>
              <w:ind w:left="-48" w:leftChars="-23" w:right="-65" w:rightChars="-31"/>
              <w:jc w:val="left"/>
              <w:rPr>
                <w:rFonts w:ascii="宋体" w:hAnsi="宋体" w:cs="宋体"/>
                <w:color w:val="auto"/>
                <w:kern w:val="0"/>
                <w:sz w:val="24"/>
                <w:szCs w:val="24"/>
              </w:rPr>
            </w:pPr>
          </w:p>
        </w:tc>
        <w:tc>
          <w:tcPr>
            <w:tcW w:w="1224" w:type="dxa"/>
            <w:vAlign w:val="center"/>
          </w:tcPr>
          <w:p>
            <w:pPr>
              <w:spacing w:line="240" w:lineRule="atLeast"/>
              <w:ind w:left="-48" w:leftChars="-23" w:right="-65" w:rightChars="-31"/>
              <w:jc w:val="left"/>
              <w:rPr>
                <w:rFonts w:ascii="宋体" w:hAnsi="宋体" w:cs="宋体"/>
                <w:color w:val="auto"/>
                <w:kern w:val="0"/>
                <w:sz w:val="24"/>
                <w:szCs w:val="24"/>
              </w:rPr>
            </w:pPr>
          </w:p>
        </w:tc>
        <w:tc>
          <w:tcPr>
            <w:tcW w:w="907" w:type="dxa"/>
            <w:vAlign w:val="center"/>
          </w:tcPr>
          <w:p>
            <w:pPr>
              <w:spacing w:line="240" w:lineRule="atLeast"/>
              <w:ind w:left="-48" w:leftChars="-23" w:right="-377" w:rightChars="-179"/>
              <w:jc w:val="center"/>
              <w:rPr>
                <w:rFonts w:ascii="宋体" w:hAnsi="宋体" w:cs="宋体"/>
                <w:color w:val="auto"/>
                <w:kern w:val="0"/>
                <w:sz w:val="24"/>
                <w:szCs w:val="24"/>
              </w:rPr>
            </w:pPr>
          </w:p>
        </w:tc>
        <w:tc>
          <w:tcPr>
            <w:tcW w:w="1278" w:type="dxa"/>
            <w:vAlign w:val="center"/>
          </w:tcPr>
          <w:p>
            <w:pPr>
              <w:spacing w:line="240" w:lineRule="atLeast"/>
              <w:ind w:left="-48" w:leftChars="-23" w:right="-65" w:rightChars="-31"/>
              <w:jc w:val="center"/>
              <w:rPr>
                <w:rFonts w:ascii="宋体" w:hAnsi="宋体" w:cs="宋体"/>
                <w:color w:val="auto"/>
                <w:kern w:val="0"/>
                <w:sz w:val="24"/>
                <w:szCs w:val="24"/>
              </w:rPr>
            </w:pPr>
          </w:p>
        </w:tc>
        <w:tc>
          <w:tcPr>
            <w:tcW w:w="1843" w:type="dxa"/>
            <w:vAlign w:val="center"/>
          </w:tcPr>
          <w:p>
            <w:pPr>
              <w:spacing w:line="240" w:lineRule="atLeast"/>
              <w:ind w:left="-48" w:leftChars="-23" w:right="-65" w:rightChars="-31"/>
              <w:jc w:val="left"/>
              <w:rPr>
                <w:rFonts w:ascii="宋体" w:hAnsi="宋体" w:cs="宋体"/>
                <w:color w:val="auto"/>
                <w:kern w:val="0"/>
                <w:sz w:val="24"/>
                <w:szCs w:val="24"/>
              </w:rPr>
            </w:pPr>
          </w:p>
        </w:tc>
        <w:tc>
          <w:tcPr>
            <w:tcW w:w="1228"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52" w:type="dxa"/>
            <w:vAlign w:val="center"/>
          </w:tcPr>
          <w:p>
            <w:pPr>
              <w:numPr>
                <w:ilvl w:val="0"/>
                <w:numId w:val="1"/>
              </w:numPr>
              <w:tabs>
                <w:tab w:val="left" w:pos="82"/>
              </w:tabs>
              <w:adjustRightInd w:val="0"/>
              <w:snapToGrid w:val="0"/>
              <w:ind w:left="-2" w:firstLine="2"/>
              <w:jc w:val="center"/>
              <w:rPr>
                <w:rFonts w:ascii="宋体" w:hAnsi="宋体"/>
                <w:color w:val="auto"/>
                <w:sz w:val="24"/>
              </w:rPr>
            </w:pPr>
          </w:p>
        </w:tc>
        <w:tc>
          <w:tcPr>
            <w:tcW w:w="2414" w:type="dxa"/>
            <w:vAlign w:val="center"/>
          </w:tcPr>
          <w:p>
            <w:pPr>
              <w:spacing w:line="240" w:lineRule="atLeast"/>
              <w:ind w:left="-48" w:leftChars="-23" w:right="-65" w:rightChars="-31"/>
              <w:jc w:val="left"/>
              <w:rPr>
                <w:rFonts w:ascii="宋体" w:hAnsi="宋体" w:cs="宋体"/>
                <w:color w:val="auto"/>
                <w:kern w:val="0"/>
                <w:sz w:val="24"/>
                <w:szCs w:val="24"/>
              </w:rPr>
            </w:pPr>
          </w:p>
        </w:tc>
        <w:tc>
          <w:tcPr>
            <w:tcW w:w="1224" w:type="dxa"/>
            <w:vAlign w:val="center"/>
          </w:tcPr>
          <w:p>
            <w:pPr>
              <w:spacing w:line="240" w:lineRule="atLeast"/>
              <w:ind w:left="-48" w:leftChars="-23" w:right="-65" w:rightChars="-31"/>
              <w:jc w:val="left"/>
              <w:rPr>
                <w:rFonts w:ascii="宋体" w:hAnsi="宋体" w:cs="宋体"/>
                <w:color w:val="auto"/>
                <w:kern w:val="0"/>
                <w:sz w:val="24"/>
                <w:szCs w:val="24"/>
              </w:rPr>
            </w:pPr>
          </w:p>
        </w:tc>
        <w:tc>
          <w:tcPr>
            <w:tcW w:w="907" w:type="dxa"/>
            <w:vAlign w:val="center"/>
          </w:tcPr>
          <w:p>
            <w:pPr>
              <w:spacing w:line="240" w:lineRule="atLeast"/>
              <w:ind w:left="-48" w:leftChars="-23" w:right="-65" w:rightChars="-31"/>
              <w:jc w:val="center"/>
              <w:rPr>
                <w:rFonts w:ascii="宋体" w:hAnsi="宋体" w:cs="宋体"/>
                <w:color w:val="auto"/>
                <w:kern w:val="0"/>
                <w:sz w:val="24"/>
                <w:szCs w:val="24"/>
              </w:rPr>
            </w:pPr>
          </w:p>
        </w:tc>
        <w:tc>
          <w:tcPr>
            <w:tcW w:w="1278" w:type="dxa"/>
            <w:vAlign w:val="center"/>
          </w:tcPr>
          <w:p>
            <w:pPr>
              <w:spacing w:line="240" w:lineRule="atLeast"/>
              <w:ind w:left="-48" w:leftChars="-23" w:right="-65" w:rightChars="-31"/>
              <w:jc w:val="center"/>
              <w:rPr>
                <w:rFonts w:ascii="宋体" w:hAnsi="宋体" w:cs="宋体"/>
                <w:color w:val="auto"/>
                <w:kern w:val="0"/>
                <w:sz w:val="24"/>
                <w:szCs w:val="24"/>
              </w:rPr>
            </w:pPr>
          </w:p>
        </w:tc>
        <w:tc>
          <w:tcPr>
            <w:tcW w:w="1843" w:type="dxa"/>
            <w:vAlign w:val="center"/>
          </w:tcPr>
          <w:p>
            <w:pPr>
              <w:spacing w:line="240" w:lineRule="atLeast"/>
              <w:ind w:left="-48" w:leftChars="-23" w:right="-65" w:rightChars="-31"/>
              <w:jc w:val="left"/>
              <w:rPr>
                <w:rFonts w:ascii="宋体" w:hAnsi="宋体" w:cs="宋体"/>
                <w:color w:val="auto"/>
                <w:kern w:val="0"/>
                <w:sz w:val="24"/>
                <w:szCs w:val="24"/>
              </w:rPr>
            </w:pPr>
          </w:p>
        </w:tc>
        <w:tc>
          <w:tcPr>
            <w:tcW w:w="1228"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tabs>
                <w:tab w:val="left" w:pos="82"/>
              </w:tabs>
              <w:adjustRightInd w:val="0"/>
              <w:snapToGrid w:val="0"/>
              <w:jc w:val="center"/>
              <w:rPr>
                <w:rFonts w:ascii="宋体" w:hAnsi="宋体"/>
                <w:color w:val="auto"/>
                <w:sz w:val="24"/>
              </w:rPr>
            </w:pPr>
            <w:r>
              <w:rPr>
                <w:rFonts w:hint="eastAsia" w:ascii="宋体" w:hAnsi="宋体"/>
                <w:color w:val="auto"/>
                <w:sz w:val="24"/>
              </w:rPr>
              <w:t>…</w:t>
            </w:r>
          </w:p>
        </w:tc>
        <w:tc>
          <w:tcPr>
            <w:tcW w:w="2414" w:type="dxa"/>
            <w:vAlign w:val="center"/>
          </w:tcPr>
          <w:p>
            <w:pPr>
              <w:spacing w:line="240" w:lineRule="atLeast"/>
              <w:ind w:left="-48" w:leftChars="-23" w:right="-65" w:rightChars="-31"/>
              <w:jc w:val="left"/>
              <w:rPr>
                <w:rFonts w:ascii="宋体" w:hAnsi="宋体" w:cs="宋体"/>
                <w:color w:val="auto"/>
                <w:kern w:val="0"/>
                <w:sz w:val="24"/>
                <w:szCs w:val="24"/>
              </w:rPr>
            </w:pPr>
          </w:p>
        </w:tc>
        <w:tc>
          <w:tcPr>
            <w:tcW w:w="1224" w:type="dxa"/>
            <w:vAlign w:val="center"/>
          </w:tcPr>
          <w:p>
            <w:pPr>
              <w:spacing w:line="240" w:lineRule="atLeast"/>
              <w:ind w:left="-48" w:leftChars="-23" w:right="-65" w:rightChars="-31"/>
              <w:jc w:val="left"/>
              <w:rPr>
                <w:rFonts w:ascii="宋体" w:hAnsi="宋体" w:cs="宋体"/>
                <w:color w:val="auto"/>
                <w:kern w:val="0"/>
                <w:sz w:val="24"/>
                <w:szCs w:val="24"/>
              </w:rPr>
            </w:pPr>
          </w:p>
        </w:tc>
        <w:tc>
          <w:tcPr>
            <w:tcW w:w="907" w:type="dxa"/>
            <w:vAlign w:val="center"/>
          </w:tcPr>
          <w:p>
            <w:pPr>
              <w:spacing w:line="240" w:lineRule="atLeast"/>
              <w:ind w:left="-48" w:leftChars="-23" w:right="-65" w:rightChars="-31"/>
              <w:jc w:val="center"/>
              <w:rPr>
                <w:rFonts w:ascii="宋体" w:hAnsi="宋体" w:cs="宋体"/>
                <w:color w:val="auto"/>
                <w:kern w:val="0"/>
                <w:sz w:val="24"/>
                <w:szCs w:val="24"/>
              </w:rPr>
            </w:pPr>
          </w:p>
        </w:tc>
        <w:tc>
          <w:tcPr>
            <w:tcW w:w="1278" w:type="dxa"/>
            <w:vAlign w:val="center"/>
          </w:tcPr>
          <w:p>
            <w:pPr>
              <w:spacing w:line="240" w:lineRule="atLeast"/>
              <w:ind w:left="-48" w:leftChars="-23" w:right="-65" w:rightChars="-31"/>
              <w:jc w:val="center"/>
              <w:rPr>
                <w:rFonts w:ascii="宋体" w:hAnsi="宋体" w:cs="宋体"/>
                <w:color w:val="auto"/>
                <w:kern w:val="0"/>
                <w:sz w:val="24"/>
                <w:szCs w:val="24"/>
              </w:rPr>
            </w:pPr>
          </w:p>
        </w:tc>
        <w:tc>
          <w:tcPr>
            <w:tcW w:w="1843" w:type="dxa"/>
            <w:vAlign w:val="center"/>
          </w:tcPr>
          <w:p>
            <w:pPr>
              <w:spacing w:line="240" w:lineRule="atLeast"/>
              <w:ind w:left="-48" w:leftChars="-23" w:right="-65" w:rightChars="-31"/>
              <w:jc w:val="left"/>
              <w:rPr>
                <w:rFonts w:ascii="宋体" w:hAnsi="宋体" w:cs="宋体"/>
                <w:color w:val="auto"/>
                <w:kern w:val="0"/>
                <w:sz w:val="24"/>
                <w:szCs w:val="24"/>
              </w:rPr>
            </w:pPr>
          </w:p>
        </w:tc>
        <w:tc>
          <w:tcPr>
            <w:tcW w:w="1228"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75" w:type="dxa"/>
            <w:gridSpan w:val="5"/>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合计</w:t>
            </w:r>
          </w:p>
        </w:tc>
        <w:tc>
          <w:tcPr>
            <w:tcW w:w="3071" w:type="dxa"/>
            <w:gridSpan w:val="2"/>
            <w:vAlign w:val="center"/>
          </w:tcPr>
          <w:p>
            <w:pPr>
              <w:spacing w:line="240" w:lineRule="atLeast"/>
              <w:ind w:left="-48" w:leftChars="-23" w:right="-65" w:rightChars="-31"/>
              <w:jc w:val="left"/>
              <w:rPr>
                <w:rFonts w:ascii="宋体" w:hAnsi="宋体" w:cs="宋体"/>
                <w:color w:val="auto"/>
                <w:kern w:val="0"/>
                <w:sz w:val="24"/>
                <w:szCs w:val="24"/>
              </w:rPr>
            </w:pPr>
          </w:p>
        </w:tc>
      </w:tr>
    </w:tbl>
    <w:p>
      <w:pPr>
        <w:spacing w:line="360" w:lineRule="auto"/>
        <w:ind w:firstLine="482"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bCs/>
          <w:color w:val="auto"/>
          <w:sz w:val="24"/>
          <w:szCs w:val="24"/>
        </w:rPr>
      </w:pPr>
    </w:p>
    <w:p>
      <w:pPr>
        <w:pStyle w:val="16"/>
        <w:spacing w:line="360" w:lineRule="auto"/>
        <w:jc w:val="left"/>
        <w:rPr>
          <w:rFonts w:hAnsi="宋体" w:cs="Corbel"/>
          <w:color w:val="auto"/>
          <w:sz w:val="24"/>
        </w:rPr>
      </w:pPr>
      <w:r>
        <w:rPr>
          <w:rFonts w:hint="eastAsia" w:hAnsi="宋体"/>
          <w:bCs/>
          <w:color w:val="auto"/>
          <w:sz w:val="24"/>
          <w:szCs w:val="24"/>
        </w:rPr>
        <w:t>说明：</w:t>
      </w:r>
      <w:r>
        <w:rPr>
          <w:rFonts w:hint="eastAsia" w:hAnsi="宋体" w:cs="Corbel"/>
          <w:color w:val="auto"/>
          <w:sz w:val="24"/>
        </w:rPr>
        <w:t>1、投标人所投货物为自己制造的，也应按本声明函格式填写。</w:t>
      </w:r>
    </w:p>
    <w:p>
      <w:pPr>
        <w:pStyle w:val="16"/>
        <w:spacing w:line="360" w:lineRule="auto"/>
        <w:ind w:left="1082" w:leftChars="342" w:hanging="361" w:hangingChars="150"/>
        <w:jc w:val="left"/>
        <w:rPr>
          <w:rFonts w:hAnsi="宋体"/>
          <w:color w:val="auto"/>
          <w:sz w:val="24"/>
        </w:rPr>
      </w:pPr>
      <w:r>
        <w:rPr>
          <w:rFonts w:hint="eastAsia" w:hAnsi="宋体"/>
          <w:color w:val="auto"/>
          <w:sz w:val="24"/>
        </w:rPr>
        <w:t>2、组成联合体的大中型企业和其他自然人、法人或者其他组织，与残疾人福利性单位之间不得存在投资关系。</w:t>
      </w:r>
    </w:p>
    <w:p>
      <w:pPr>
        <w:pStyle w:val="16"/>
        <w:spacing w:line="360" w:lineRule="auto"/>
        <w:ind w:left="1082" w:leftChars="342" w:hanging="361" w:hangingChars="150"/>
        <w:jc w:val="left"/>
        <w:rPr>
          <w:rFonts w:hAnsi="宋体"/>
          <w:color w:val="auto"/>
          <w:sz w:val="24"/>
        </w:rPr>
      </w:pPr>
      <w:r>
        <w:rPr>
          <w:rFonts w:hint="eastAsia" w:hAnsi="宋体"/>
          <w:color w:val="auto"/>
          <w:sz w:val="24"/>
        </w:rPr>
        <w:t>3、以联合体方式参与本项目投标的供应商，应由联合体双方签字盖章。</w:t>
      </w:r>
    </w:p>
    <w:p>
      <w:pPr>
        <w:spacing w:line="360" w:lineRule="auto"/>
        <w:rPr>
          <w:rFonts w:ascii="宋体" w:hAnsi="宋体"/>
          <w:color w:val="auto"/>
          <w:sz w:val="24"/>
        </w:rPr>
      </w:pPr>
    </w:p>
    <w:p>
      <w:pPr>
        <w:spacing w:before="100" w:beforeAutospacing="1" w:after="100" w:afterAutospacing="1" w:line="360" w:lineRule="auto"/>
        <w:ind w:firstLine="3329" w:firstLineChars="1382"/>
        <w:rPr>
          <w:rFonts w:ascii="宋体" w:hAnsi="宋体"/>
          <w:b/>
          <w:bCs/>
          <w:color w:val="auto"/>
          <w:sz w:val="24"/>
          <w:szCs w:val="21"/>
        </w:rPr>
      </w:pPr>
      <w:r>
        <w:rPr>
          <w:rFonts w:hint="eastAsia" w:ascii="宋体" w:hAnsi="宋体"/>
          <w:b/>
          <w:bCs/>
          <w:color w:val="auto"/>
          <w:sz w:val="24"/>
          <w:szCs w:val="21"/>
        </w:rPr>
        <w:t>制造商（公章）：</w:t>
      </w:r>
    </w:p>
    <w:p>
      <w:pPr>
        <w:spacing w:before="100" w:beforeAutospacing="1" w:after="100" w:afterAutospacing="1" w:line="360" w:lineRule="auto"/>
        <w:ind w:firstLine="3329" w:firstLineChars="1382"/>
        <w:rPr>
          <w:rFonts w:ascii="宋体" w:hAnsi="宋体"/>
          <w:b/>
          <w:bCs/>
          <w:color w:val="auto"/>
          <w:sz w:val="24"/>
          <w:szCs w:val="21"/>
        </w:rPr>
      </w:pPr>
      <w:r>
        <w:rPr>
          <w:rFonts w:hint="eastAsia" w:ascii="宋体" w:hAnsi="宋体"/>
          <w:b/>
          <w:bCs/>
          <w:color w:val="auto"/>
          <w:sz w:val="24"/>
          <w:szCs w:val="21"/>
        </w:rPr>
        <w:t>制造商法定代表人（</w:t>
      </w:r>
      <w:r>
        <w:rPr>
          <w:rFonts w:hint="eastAsia" w:ascii="宋体" w:hAnsi="宋体"/>
          <w:b/>
          <w:color w:val="auto"/>
          <w:sz w:val="24"/>
          <w:szCs w:val="21"/>
        </w:rPr>
        <w:t>签字或盖章</w:t>
      </w:r>
      <w:r>
        <w:rPr>
          <w:rFonts w:hint="eastAsia" w:ascii="宋体" w:hAnsi="宋体"/>
          <w:b/>
          <w:bCs/>
          <w:color w:val="auto"/>
          <w:sz w:val="24"/>
          <w:szCs w:val="21"/>
        </w:rPr>
        <w:t>）：</w:t>
      </w:r>
    </w:p>
    <w:p>
      <w:pPr>
        <w:spacing w:before="100" w:beforeAutospacing="1" w:after="100" w:afterAutospacing="1" w:line="360" w:lineRule="auto"/>
        <w:ind w:firstLine="3329" w:firstLineChars="1382"/>
        <w:rPr>
          <w:color w:val="auto"/>
        </w:rPr>
      </w:pPr>
      <w:r>
        <w:rPr>
          <w:rFonts w:hint="eastAsia" w:hAnsi="宋体"/>
          <w:b/>
          <w:color w:val="auto"/>
          <w:sz w:val="24"/>
          <w:szCs w:val="24"/>
        </w:rPr>
        <w:t>日  期：</w:t>
      </w:r>
    </w:p>
    <w:p>
      <w:pPr>
        <w:spacing w:before="100" w:beforeAutospacing="1" w:after="100" w:afterAutospacing="1" w:line="360" w:lineRule="auto"/>
        <w:ind w:firstLine="3329" w:firstLineChars="1382"/>
        <w:rPr>
          <w:rFonts w:ascii="宋体" w:hAnsi="宋体"/>
          <w:b/>
          <w:bCs/>
          <w:color w:val="auto"/>
          <w:sz w:val="24"/>
          <w:szCs w:val="21"/>
        </w:rPr>
        <w:sectPr>
          <w:footerReference r:id="rId9" w:type="default"/>
          <w:pgSz w:w="11906" w:h="16838"/>
          <w:pgMar w:top="1134" w:right="1191" w:bottom="1134" w:left="1191" w:header="851" w:footer="624" w:gutter="0"/>
          <w:cols w:space="0" w:num="1"/>
          <w:docGrid w:type="linesAndChars" w:linePitch="317" w:charSpace="336"/>
        </w:sectPr>
      </w:pPr>
    </w:p>
    <w:p>
      <w:pPr>
        <w:rPr>
          <w:color w:val="auto"/>
        </w:rPr>
      </w:pPr>
    </w:p>
    <w:p>
      <w:pPr>
        <w:spacing w:line="240" w:lineRule="atLeast"/>
        <w:ind w:left="-48" w:leftChars="-23" w:right="-65" w:rightChars="-31"/>
        <w:jc w:val="center"/>
        <w:rPr>
          <w:rFonts w:ascii="宋体" w:hAnsi="宋体"/>
          <w:b/>
          <w:color w:val="auto"/>
          <w:sz w:val="30"/>
          <w:szCs w:val="30"/>
        </w:rPr>
      </w:pPr>
      <w:bookmarkStart w:id="139" w:name="_Toc476153619"/>
      <w:r>
        <w:rPr>
          <w:rFonts w:hint="eastAsia" w:ascii="宋体" w:hAnsi="宋体"/>
          <w:b/>
          <w:color w:val="auto"/>
          <w:sz w:val="30"/>
          <w:szCs w:val="30"/>
        </w:rPr>
        <w:t>中小企业划型标准</w:t>
      </w:r>
      <w:bookmarkEnd w:id="139"/>
    </w:p>
    <w:tbl>
      <w:tblPr>
        <w:tblStyle w:val="31"/>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序号</w:t>
            </w:r>
          </w:p>
        </w:tc>
        <w:tc>
          <w:tcPr>
            <w:tcW w:w="1954" w:type="dxa"/>
            <w:vMerge w:val="restart"/>
            <w:tcBorders>
              <w:top w:val="single" w:color="auto" w:sz="4" w:space="0"/>
              <w:left w:val="nil"/>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行业</w:t>
            </w:r>
          </w:p>
        </w:tc>
        <w:tc>
          <w:tcPr>
            <w:tcW w:w="3062"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大型企业</w:t>
            </w:r>
          </w:p>
        </w:tc>
        <w:tc>
          <w:tcPr>
            <w:tcW w:w="3049"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中型企业</w:t>
            </w:r>
          </w:p>
        </w:tc>
        <w:tc>
          <w:tcPr>
            <w:tcW w:w="3073"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小型企业</w:t>
            </w:r>
          </w:p>
        </w:tc>
        <w:tc>
          <w:tcPr>
            <w:tcW w:w="2842"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p>
        </w:tc>
        <w:tc>
          <w:tcPr>
            <w:tcW w:w="1954" w:type="dxa"/>
            <w:vMerge w:val="continue"/>
            <w:tcBorders>
              <w:left w:val="nil"/>
              <w:bottom w:val="single" w:color="auto" w:sz="4" w:space="0"/>
              <w:right w:val="single" w:color="auto" w:sz="4" w:space="0"/>
            </w:tcBorders>
            <w:vAlign w:val="center"/>
          </w:tcPr>
          <w:p>
            <w:pPr>
              <w:spacing w:line="240" w:lineRule="atLeast"/>
              <w:ind w:left="-48" w:leftChars="-23" w:right="-65" w:rightChars="-31"/>
              <w:jc w:val="left"/>
              <w:rPr>
                <w:rFonts w:ascii="宋体" w:hAnsi="宋体" w:cs="宋体"/>
                <w:b/>
                <w:color w:val="auto"/>
                <w:kern w:val="0"/>
                <w:szCs w:val="21"/>
              </w:rPr>
            </w:pPr>
          </w:p>
        </w:tc>
        <w:tc>
          <w:tcPr>
            <w:tcW w:w="119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2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941"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4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99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61" w:type="dxa"/>
            <w:tcBorders>
              <w:top w:val="nil"/>
              <w:left w:val="nil"/>
              <w:bottom w:val="single" w:color="auto" w:sz="4" w:space="0"/>
              <w:right w:val="single" w:color="auto" w:sz="4" w:space="0"/>
            </w:tcBorders>
            <w:vAlign w:val="center"/>
          </w:tcPr>
          <w:p>
            <w:pPr>
              <w:spacing w:line="240" w:lineRule="atLeast"/>
              <w:ind w:left="117" w:leftChars="-23" w:right="-65" w:rightChars="-31" w:hanging="165" w:hangingChars="79"/>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1004"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88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851"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w:t>
            </w:r>
          </w:p>
        </w:tc>
        <w:tc>
          <w:tcPr>
            <w:tcW w:w="1954" w:type="dxa"/>
            <w:tcBorders>
              <w:top w:val="single" w:color="auto" w:sz="4" w:space="0"/>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农、林、牧、渔业</w:t>
            </w:r>
          </w:p>
        </w:tc>
        <w:tc>
          <w:tcPr>
            <w:tcW w:w="1198" w:type="dxa"/>
            <w:tcBorders>
              <w:top w:val="single" w:color="auto" w:sz="4" w:space="0"/>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2</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工业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≥40000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3</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建筑业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≥80000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≥80000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≥6000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4</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批发业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≥40000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5</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零售业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6</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交通运输业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7</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仓储业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8</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邮政业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9</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住宿业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10</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餐饮业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11</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信息传输业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12</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软件和信息技术服务业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13</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房地产开发经验</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或,≥10000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且,≥5000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且,≥2000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14</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物业管理</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15</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租赁和商务服务业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或,≥120000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且,≥8000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且,≥100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16</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其他未列明行业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bl>
    <w:p>
      <w:pPr>
        <w:rPr>
          <w:color w:val="auto"/>
        </w:rPr>
        <w:sectPr>
          <w:pgSz w:w="16838" w:h="11906" w:orient="landscape"/>
          <w:pgMar w:top="1191" w:right="1134" w:bottom="1191" w:left="1134" w:header="851" w:footer="624" w:gutter="0"/>
          <w:cols w:space="0" w:num="1"/>
          <w:docGrid w:type="linesAndChars" w:linePitch="317" w:charSpace="336"/>
        </w:sectPr>
      </w:pPr>
    </w:p>
    <w:p>
      <w:pPr>
        <w:rPr>
          <w:rFonts w:ascii="宋体" w:hAnsi="宋体"/>
          <w:color w:val="auto"/>
        </w:rPr>
      </w:pPr>
      <w:bookmarkStart w:id="140" w:name="_Toc494702274"/>
      <w:bookmarkStart w:id="141" w:name="_Toc494745321"/>
      <w:bookmarkStart w:id="142" w:name="_Toc494721104"/>
      <w:bookmarkStart w:id="143" w:name="_Toc494665954"/>
      <w:bookmarkStart w:id="144" w:name="_Toc494665557"/>
      <w:bookmarkStart w:id="145" w:name="_Toc494665004"/>
    </w:p>
    <w:bookmarkEnd w:id="140"/>
    <w:bookmarkEnd w:id="141"/>
    <w:bookmarkEnd w:id="142"/>
    <w:bookmarkEnd w:id="143"/>
    <w:bookmarkEnd w:id="144"/>
    <w:bookmarkEnd w:id="145"/>
    <w:p>
      <w:pPr>
        <w:pStyle w:val="4"/>
        <w:numPr>
          <w:ilvl w:val="0"/>
          <w:numId w:val="53"/>
        </w:numPr>
        <w:spacing w:before="100" w:beforeAutospacing="1" w:after="158" w:afterLines="50" w:line="360" w:lineRule="auto"/>
        <w:jc w:val="left"/>
        <w:rPr>
          <w:rFonts w:ascii="宋体" w:hAnsi="宋体"/>
          <w:color w:val="auto"/>
        </w:rPr>
      </w:pPr>
      <w:bookmarkStart w:id="146" w:name="_Toc494721105"/>
      <w:bookmarkStart w:id="147" w:name="_Toc494665558"/>
      <w:bookmarkStart w:id="148" w:name="_Toc494665955"/>
      <w:bookmarkStart w:id="149" w:name="_Toc494745322"/>
      <w:bookmarkStart w:id="150" w:name="_Toc494702275"/>
      <w:bookmarkStart w:id="151" w:name="_Toc494665005"/>
      <w:bookmarkStart w:id="152" w:name="_Toc494577410"/>
      <w:r>
        <w:rPr>
          <w:rFonts w:hint="eastAsia" w:ascii="宋体" w:hAnsi="宋体"/>
          <w:color w:val="auto"/>
        </w:rPr>
        <w:t xml:space="preserve">                  </w:t>
      </w:r>
      <w:bookmarkStart w:id="153" w:name="_Toc14535"/>
      <w:r>
        <w:rPr>
          <w:rFonts w:hint="eastAsia" w:ascii="宋体" w:hAnsi="宋体"/>
          <w:color w:val="auto"/>
        </w:rPr>
        <w:t>开标一览表</w:t>
      </w:r>
      <w:bookmarkEnd w:id="146"/>
      <w:bookmarkEnd w:id="147"/>
      <w:bookmarkEnd w:id="148"/>
      <w:bookmarkEnd w:id="149"/>
      <w:bookmarkEnd w:id="150"/>
      <w:bookmarkEnd w:id="151"/>
      <w:bookmarkEnd w:id="152"/>
      <w:bookmarkEnd w:id="153"/>
    </w:p>
    <w:p>
      <w:pPr>
        <w:spacing w:line="360" w:lineRule="auto"/>
        <w:jc w:val="left"/>
        <w:rPr>
          <w:rFonts w:ascii="宋体" w:hAnsi="宋体"/>
          <w:b/>
          <w:color w:val="auto"/>
          <w:sz w:val="24"/>
          <w:szCs w:val="21"/>
          <w:u w:val="single"/>
        </w:rPr>
      </w:pPr>
      <w:r>
        <w:rPr>
          <w:rFonts w:hint="eastAsia" w:ascii="宋体" w:hAnsi="宋体"/>
          <w:b/>
          <w:color w:val="auto"/>
          <w:sz w:val="24"/>
          <w:szCs w:val="21"/>
        </w:rPr>
        <w:t>投 标 人：</w:t>
      </w:r>
    </w:p>
    <w:p>
      <w:pPr>
        <w:spacing w:line="360" w:lineRule="auto"/>
        <w:jc w:val="left"/>
        <w:rPr>
          <w:rFonts w:ascii="宋体" w:hAnsi="宋体"/>
          <w:b/>
          <w:color w:val="auto"/>
          <w:sz w:val="24"/>
          <w:szCs w:val="21"/>
        </w:rPr>
      </w:pPr>
      <w:r>
        <w:rPr>
          <w:rFonts w:hint="eastAsia" w:ascii="宋体" w:hAnsi="宋体"/>
          <w:b/>
          <w:color w:val="auto"/>
          <w:sz w:val="24"/>
          <w:szCs w:val="21"/>
        </w:rPr>
        <w:t>项目名称：</w:t>
      </w:r>
    </w:p>
    <w:p>
      <w:pPr>
        <w:spacing w:line="360" w:lineRule="auto"/>
        <w:jc w:val="left"/>
        <w:rPr>
          <w:rFonts w:ascii="宋体" w:hAnsi="宋体"/>
          <w:b/>
          <w:bCs/>
          <w:color w:val="auto"/>
          <w:sz w:val="24"/>
          <w:szCs w:val="21"/>
          <w:u w:val="single"/>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78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投标总报价</w:t>
            </w:r>
          </w:p>
        </w:tc>
        <w:tc>
          <w:tcPr>
            <w:tcW w:w="7839" w:type="dxa"/>
            <w:tcBorders>
              <w:top w:val="single" w:color="auto" w:sz="4" w:space="0"/>
              <w:left w:val="single" w:color="auto" w:sz="4" w:space="0"/>
              <w:bottom w:val="single" w:color="auto" w:sz="4" w:space="0"/>
              <w:right w:val="double" w:color="auto" w:sz="4" w:space="0"/>
            </w:tcBorders>
            <w:vAlign w:val="center"/>
          </w:tcPr>
          <w:p>
            <w:pPr>
              <w:spacing w:after="120" w:line="400" w:lineRule="atLeast"/>
              <w:ind w:left="206" w:leftChars="98" w:right="-65" w:rightChars="-31"/>
              <w:jc w:val="left"/>
              <w:rPr>
                <w:rFonts w:ascii="宋体" w:hAnsi="宋体" w:cs="宋体"/>
                <w:color w:val="auto"/>
                <w:kern w:val="0"/>
                <w:sz w:val="24"/>
                <w:szCs w:val="24"/>
              </w:rPr>
            </w:pPr>
            <w:r>
              <w:rPr>
                <w:rFonts w:hint="eastAsia" w:ascii="宋体" w:hAnsi="宋体" w:cs="宋体"/>
                <w:color w:val="auto"/>
                <w:kern w:val="0"/>
                <w:sz w:val="24"/>
                <w:szCs w:val="24"/>
              </w:rPr>
              <w:t>小写：万元整</w:t>
            </w:r>
          </w:p>
          <w:p>
            <w:pPr>
              <w:spacing w:after="120" w:line="400" w:lineRule="atLeast"/>
              <w:ind w:left="206" w:leftChars="98" w:right="-65" w:rightChars="-31"/>
              <w:jc w:val="left"/>
              <w:rPr>
                <w:rFonts w:ascii="宋体" w:hAnsi="宋体" w:cs="宋体"/>
                <w:color w:val="auto"/>
                <w:kern w:val="0"/>
                <w:sz w:val="24"/>
                <w:szCs w:val="24"/>
              </w:rPr>
            </w:pPr>
            <w:r>
              <w:rPr>
                <w:rFonts w:hint="eastAsia" w:ascii="宋体" w:hAnsi="宋体" w:cs="宋体"/>
                <w:color w:val="auto"/>
                <w:kern w:val="0"/>
                <w:sz w:val="24"/>
                <w:szCs w:val="24"/>
              </w:rPr>
              <w:t>大写：万仟佰元整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项目工期</w:t>
            </w:r>
          </w:p>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（服务期限）</w:t>
            </w:r>
          </w:p>
        </w:tc>
        <w:tc>
          <w:tcPr>
            <w:tcW w:w="7839"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cs="宋体"/>
                <w:color w:val="auto"/>
                <w:kern w:val="0"/>
                <w:sz w:val="24"/>
                <w:szCs w:val="24"/>
              </w:rPr>
            </w:pPr>
            <w:r>
              <w:rPr>
                <w:rFonts w:hint="eastAsia" w:ascii="宋体" w:hAnsi="宋体" w:cs="宋体"/>
                <w:color w:val="auto"/>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质保期</w:t>
            </w:r>
          </w:p>
        </w:tc>
        <w:tc>
          <w:tcPr>
            <w:tcW w:w="7839"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cs="宋体"/>
                <w:color w:val="auto"/>
                <w:kern w:val="0"/>
                <w:sz w:val="24"/>
                <w:szCs w:val="24"/>
              </w:rPr>
            </w:pPr>
            <w:r>
              <w:rPr>
                <w:rFonts w:hint="eastAsia" w:ascii="宋体" w:hAnsi="宋体" w:cs="宋体"/>
                <w:color w:val="auto"/>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8" w:type="dxa"/>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7839" w:type="dxa"/>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ascii="宋体" w:hAnsi="宋体"/>
                <w:color w:val="auto"/>
                <w:sz w:val="24"/>
              </w:rPr>
            </w:pPr>
            <w:r>
              <w:rPr>
                <w:rFonts w:hint="eastAsia" w:hAnsi="宋体"/>
                <w:color w:val="auto"/>
                <w:sz w:val="24"/>
                <w:szCs w:val="24"/>
              </w:rPr>
              <w:t>小型和微型企业、监狱企业、残疾人福利性单位价格扣除</w:t>
            </w:r>
            <w:r>
              <w:rPr>
                <w:rFonts w:hint="eastAsia" w:ascii="宋体" w:hAnsi="宋体"/>
                <w:color w:val="auto"/>
                <w:sz w:val="24"/>
              </w:rPr>
              <w:t>合计（</w:t>
            </w:r>
            <w:r>
              <w:rPr>
                <w:rFonts w:hint="eastAsia" w:ascii="宋体" w:hAnsi="宋体" w:cs="宋体"/>
                <w:color w:val="auto"/>
                <w:kern w:val="0"/>
                <w:sz w:val="24"/>
                <w:szCs w:val="24"/>
              </w:rPr>
              <w:t>大写</w:t>
            </w:r>
            <w:r>
              <w:rPr>
                <w:rFonts w:hint="eastAsia" w:ascii="宋体" w:hAnsi="宋体"/>
                <w:color w:val="auto"/>
                <w:sz w:val="24"/>
              </w:rPr>
              <w:t>）：</w:t>
            </w:r>
          </w:p>
          <w:p>
            <w:pPr>
              <w:spacing w:line="276" w:lineRule="auto"/>
              <w:ind w:left="-48" w:leftChars="-23" w:right="-65" w:rightChars="-31"/>
              <w:jc w:val="left"/>
              <w:rPr>
                <w:rFonts w:ascii="宋体" w:hAnsi="宋体" w:cs="宋体"/>
                <w:color w:val="auto"/>
                <w:kern w:val="0"/>
                <w:sz w:val="24"/>
                <w:szCs w:val="24"/>
              </w:rPr>
            </w:pPr>
            <w:r>
              <w:rPr>
                <w:rFonts w:hint="eastAsia" w:ascii="宋体" w:hAnsi="宋体" w:cs="宋体"/>
                <w:color w:val="auto"/>
                <w:kern w:val="0"/>
                <w:sz w:val="24"/>
                <w:szCs w:val="24"/>
              </w:rPr>
              <w:t>万仟佰元整</w:t>
            </w:r>
            <w:r>
              <w:rPr>
                <w:rFonts w:hint="eastAsia" w:ascii="宋体" w:hAnsi="宋体" w:cs="宋体"/>
                <w:color w:val="auto"/>
                <w:kern w:val="0"/>
                <w:sz w:val="24"/>
              </w:rPr>
              <w:t>（或以联合体投标的，</w:t>
            </w:r>
            <w:r>
              <w:rPr>
                <w:rFonts w:ascii="宋体" w:hAnsi="宋体"/>
                <w:bCs/>
                <w:color w:val="auto"/>
                <w:sz w:val="24"/>
              </w:rPr>
              <w:t>联合协议中约定小型、微型企业的协议合同金额占到联合体协议合同总金额的</w:t>
            </w:r>
            <w:r>
              <w:rPr>
                <w:rFonts w:hint="eastAsia" w:ascii="宋体" w:hAnsi="宋体"/>
                <w:bCs/>
                <w:color w:val="auto"/>
                <w:sz w:val="24"/>
              </w:rPr>
              <w:t>%）</w:t>
            </w:r>
          </w:p>
        </w:tc>
      </w:tr>
    </w:tbl>
    <w:p>
      <w:pPr>
        <w:spacing w:line="360" w:lineRule="auto"/>
        <w:ind w:left="1056" w:hanging="1052" w:hangingChars="437"/>
        <w:jc w:val="left"/>
        <w:rPr>
          <w:rFonts w:ascii="宋体" w:hAnsi="宋体"/>
          <w:color w:val="auto"/>
          <w:sz w:val="24"/>
        </w:rPr>
      </w:pPr>
      <w:r>
        <w:rPr>
          <w:rFonts w:hint="eastAsia" w:ascii="宋体" w:hAnsi="宋体"/>
          <w:color w:val="auto"/>
          <w:sz w:val="24"/>
        </w:rPr>
        <w:t>说明：1．所有价格均用人民币表示。</w:t>
      </w:r>
    </w:p>
    <w:p>
      <w:pPr>
        <w:spacing w:line="360" w:lineRule="auto"/>
        <w:ind w:left="1066" w:leftChars="339" w:hanging="351" w:hangingChars="146"/>
        <w:jc w:val="left"/>
        <w:rPr>
          <w:rFonts w:ascii="宋体" w:hAnsi="宋体"/>
          <w:color w:val="auto"/>
          <w:sz w:val="24"/>
          <w:szCs w:val="24"/>
        </w:rPr>
      </w:pPr>
      <w:r>
        <w:rPr>
          <w:rFonts w:hint="eastAsia" w:ascii="宋体" w:hAnsi="宋体"/>
          <w:color w:val="auto"/>
          <w:sz w:val="24"/>
          <w:szCs w:val="24"/>
        </w:rPr>
        <w:t>2．价格应按照招标文件第二章“投标人须知”中第12条的要求进行报价。</w:t>
      </w:r>
    </w:p>
    <w:p>
      <w:pPr>
        <w:spacing w:line="360" w:lineRule="auto"/>
        <w:ind w:left="1066" w:leftChars="339" w:hanging="351" w:hangingChars="146"/>
        <w:jc w:val="left"/>
        <w:rPr>
          <w:rFonts w:ascii="宋体" w:hAnsi="宋体"/>
          <w:b/>
          <w:color w:val="auto"/>
          <w:sz w:val="24"/>
          <w:szCs w:val="24"/>
        </w:rPr>
      </w:pPr>
      <w:r>
        <w:rPr>
          <w:rFonts w:hint="eastAsia" w:ascii="宋体" w:hAnsi="宋体"/>
          <w:color w:val="auto"/>
          <w:sz w:val="24"/>
          <w:szCs w:val="24"/>
        </w:rPr>
        <w:t>3．为方便开标时唱标，投标人应另附《开标一览表》一份</w:t>
      </w:r>
      <w:r>
        <w:rPr>
          <w:rFonts w:hint="eastAsia" w:ascii="宋体" w:hAnsi="宋体"/>
          <w:color w:val="auto"/>
          <w:kern w:val="0"/>
          <w:sz w:val="24"/>
          <w:szCs w:val="24"/>
        </w:rPr>
        <w:t>装入一个信封，单独密封提交</w:t>
      </w:r>
      <w:r>
        <w:rPr>
          <w:rFonts w:hint="eastAsia" w:ascii="宋体" w:hAnsi="宋体"/>
          <w:color w:val="auto"/>
          <w:sz w:val="24"/>
          <w:szCs w:val="24"/>
        </w:rPr>
        <w:t>，并在信封上标明“开标一览表”字样。未单独提交或单独提交的上述资料未按照招标文件规定的格式填写完整并签字、盖章</w:t>
      </w:r>
      <w:r>
        <w:rPr>
          <w:rFonts w:hint="eastAsia" w:ascii="宋体" w:hAnsi="宋体"/>
          <w:color w:val="auto"/>
          <w:sz w:val="24"/>
          <w:szCs w:val="20"/>
        </w:rPr>
        <w:t>的集中采购机构</w:t>
      </w:r>
      <w:r>
        <w:rPr>
          <w:rFonts w:hint="eastAsia" w:ascii="宋体" w:hAnsi="宋体"/>
          <w:b/>
          <w:color w:val="auto"/>
          <w:sz w:val="24"/>
          <w:szCs w:val="20"/>
        </w:rPr>
        <w:t>拒绝</w:t>
      </w:r>
      <w:r>
        <w:rPr>
          <w:rFonts w:hint="eastAsia" w:ascii="宋体" w:hAnsi="宋体"/>
          <w:color w:val="auto"/>
          <w:sz w:val="24"/>
          <w:szCs w:val="20"/>
        </w:rPr>
        <w:t>其投标。</w:t>
      </w:r>
    </w:p>
    <w:p>
      <w:pPr>
        <w:spacing w:line="360" w:lineRule="auto"/>
        <w:ind w:left="1066" w:leftChars="339" w:hanging="351" w:hangingChars="146"/>
        <w:jc w:val="left"/>
        <w:rPr>
          <w:rFonts w:ascii="宋体" w:hAnsi="宋体"/>
          <w:color w:val="auto"/>
          <w:sz w:val="24"/>
          <w:szCs w:val="24"/>
        </w:rPr>
      </w:pPr>
      <w:r>
        <w:rPr>
          <w:rFonts w:hint="eastAsia" w:ascii="宋体" w:hAnsi="宋体"/>
          <w:color w:val="auto"/>
          <w:sz w:val="24"/>
          <w:szCs w:val="24"/>
        </w:rPr>
        <w:t>4. 本表应按要求由投标人法人授权代表签字，并加盖投标单位公章，否则将被视为非响应性投标，将按照</w:t>
      </w:r>
      <w:r>
        <w:rPr>
          <w:rFonts w:hint="eastAsia" w:ascii="宋体" w:hAnsi="宋体"/>
          <w:b/>
          <w:color w:val="auto"/>
          <w:sz w:val="24"/>
          <w:szCs w:val="24"/>
        </w:rPr>
        <w:t>无效投标处理</w:t>
      </w:r>
      <w:r>
        <w:rPr>
          <w:rFonts w:hint="eastAsia" w:ascii="宋体" w:hAnsi="宋体"/>
          <w:color w:val="auto"/>
          <w:sz w:val="24"/>
          <w:szCs w:val="24"/>
        </w:rPr>
        <w:t>。</w:t>
      </w:r>
    </w:p>
    <w:p>
      <w:pPr>
        <w:spacing w:line="360" w:lineRule="auto"/>
        <w:ind w:left="1066" w:leftChars="339" w:hanging="351" w:hangingChars="146"/>
        <w:jc w:val="left"/>
        <w:rPr>
          <w:rFonts w:ascii="宋体" w:hAnsi="宋体"/>
          <w:color w:val="auto"/>
          <w:sz w:val="24"/>
          <w:szCs w:val="24"/>
        </w:rPr>
      </w:pPr>
      <w:r>
        <w:rPr>
          <w:rFonts w:hint="eastAsia" w:ascii="宋体" w:hAnsi="宋体"/>
          <w:color w:val="auto"/>
          <w:sz w:val="24"/>
          <w:szCs w:val="24"/>
        </w:rPr>
        <w:t>5.</w:t>
      </w:r>
      <w:r>
        <w:rPr>
          <w:rFonts w:hint="eastAsia" w:ascii="宋体" w:hAnsi="宋体" w:cs="宋体"/>
          <w:color w:val="auto"/>
          <w:kern w:val="0"/>
          <w:sz w:val="24"/>
          <w:szCs w:val="24"/>
        </w:rPr>
        <w:t>“备注”栏适用于投标存在价格扣除情形的；同时满足两种情形的，投标人选择其中一种情形进行填报。</w:t>
      </w:r>
    </w:p>
    <w:p>
      <w:pPr>
        <w:spacing w:before="100" w:beforeAutospacing="1" w:after="100" w:afterAutospacing="1" w:line="360" w:lineRule="auto"/>
        <w:ind w:firstLine="3329" w:firstLineChars="1382"/>
        <w:rPr>
          <w:rFonts w:ascii="宋体" w:hAnsi="宋体"/>
          <w:b/>
          <w:bCs/>
          <w:color w:val="auto"/>
          <w:sz w:val="24"/>
          <w:szCs w:val="21"/>
          <w:u w:val="single"/>
        </w:rPr>
      </w:pPr>
      <w:r>
        <w:rPr>
          <w:rFonts w:hint="eastAsia" w:ascii="宋体" w:hAnsi="宋体"/>
          <w:b/>
          <w:bCs/>
          <w:color w:val="auto"/>
          <w:sz w:val="24"/>
          <w:szCs w:val="21"/>
        </w:rPr>
        <w:t>投标人（公章）：</w:t>
      </w:r>
    </w:p>
    <w:p>
      <w:pPr>
        <w:spacing w:before="100" w:beforeAutospacing="1" w:after="100" w:afterAutospacing="1" w:line="360" w:lineRule="auto"/>
        <w:ind w:firstLine="3329" w:firstLineChars="1382"/>
        <w:rPr>
          <w:rFonts w:ascii="宋体" w:hAnsi="宋体"/>
          <w:b/>
          <w:bCs/>
          <w:color w:val="auto"/>
          <w:sz w:val="24"/>
          <w:szCs w:val="21"/>
          <w:u w:val="single"/>
        </w:rPr>
      </w:pPr>
      <w:r>
        <w:rPr>
          <w:rFonts w:hint="eastAsia" w:ascii="宋体" w:hAnsi="宋体"/>
          <w:b/>
          <w:bCs/>
          <w:color w:val="auto"/>
          <w:sz w:val="24"/>
          <w:szCs w:val="21"/>
        </w:rPr>
        <w:t>投标人授权代表（签字）：</w:t>
      </w:r>
    </w:p>
    <w:p>
      <w:pPr>
        <w:spacing w:before="100" w:beforeAutospacing="1" w:after="100" w:afterAutospacing="1" w:line="360" w:lineRule="auto"/>
        <w:ind w:firstLine="3329" w:firstLineChars="1382"/>
        <w:rPr>
          <w:rFonts w:ascii="宋体" w:hAnsi="宋体"/>
          <w:b/>
          <w:bCs/>
          <w:color w:val="auto"/>
          <w:sz w:val="24"/>
          <w:szCs w:val="21"/>
        </w:rPr>
      </w:pPr>
      <w:r>
        <w:rPr>
          <w:rFonts w:hint="eastAsia" w:ascii="宋体" w:hAnsi="宋体"/>
          <w:b/>
          <w:bCs/>
          <w:color w:val="auto"/>
          <w:sz w:val="24"/>
          <w:szCs w:val="21"/>
        </w:rPr>
        <w:t>投标时间：</w:t>
      </w:r>
    </w:p>
    <w:p>
      <w:pPr>
        <w:pStyle w:val="4"/>
        <w:numPr>
          <w:ilvl w:val="0"/>
          <w:numId w:val="53"/>
        </w:numPr>
        <w:spacing w:before="100" w:beforeAutospacing="1" w:after="158" w:afterLines="50" w:line="360" w:lineRule="auto"/>
        <w:jc w:val="left"/>
        <w:rPr>
          <w:rFonts w:ascii="宋体" w:hAnsi="宋体"/>
          <w:color w:val="auto"/>
        </w:rPr>
      </w:pPr>
      <w:bookmarkStart w:id="154" w:name="_Toc12844"/>
      <w:bookmarkEnd w:id="154"/>
      <w:bookmarkStart w:id="155" w:name="_Toc494665006"/>
      <w:bookmarkStart w:id="156" w:name="_Toc494745323"/>
      <w:bookmarkStart w:id="157" w:name="_Toc494702276"/>
      <w:bookmarkStart w:id="158" w:name="_Toc494665559"/>
      <w:bookmarkStart w:id="159" w:name="_Toc494577411"/>
      <w:bookmarkStart w:id="160" w:name="_Toc494665956"/>
      <w:bookmarkStart w:id="161" w:name="_Toc494721106"/>
    </w:p>
    <w:p>
      <w:pPr>
        <w:pStyle w:val="4"/>
        <w:spacing w:before="100" w:beforeAutospacing="1" w:after="158" w:afterLines="50" w:line="360" w:lineRule="auto"/>
        <w:ind w:left="568"/>
        <w:jc w:val="left"/>
        <w:rPr>
          <w:rFonts w:ascii="宋体" w:hAnsi="宋体"/>
          <w:color w:val="auto"/>
        </w:rPr>
      </w:pPr>
      <w:r>
        <w:rPr>
          <w:rFonts w:hint="eastAsia" w:ascii="宋体" w:hAnsi="宋体"/>
          <w:color w:val="auto"/>
        </w:rPr>
        <w:t xml:space="preserve">                 </w:t>
      </w:r>
      <w:bookmarkStart w:id="162" w:name="_Toc11311"/>
      <w:r>
        <w:rPr>
          <w:rFonts w:hint="eastAsia" w:ascii="宋体" w:hAnsi="宋体"/>
          <w:color w:val="auto"/>
        </w:rPr>
        <w:t>投标报价明细表</w:t>
      </w:r>
      <w:bookmarkEnd w:id="155"/>
      <w:bookmarkEnd w:id="156"/>
      <w:bookmarkEnd w:id="157"/>
      <w:bookmarkEnd w:id="158"/>
      <w:bookmarkEnd w:id="159"/>
      <w:bookmarkEnd w:id="160"/>
      <w:bookmarkEnd w:id="161"/>
      <w:bookmarkEnd w:id="162"/>
    </w:p>
    <w:p>
      <w:pPr>
        <w:spacing w:line="360" w:lineRule="auto"/>
        <w:jc w:val="left"/>
        <w:rPr>
          <w:rFonts w:ascii="宋体" w:hAnsi="宋体"/>
          <w:b/>
          <w:color w:val="auto"/>
          <w:sz w:val="24"/>
          <w:szCs w:val="21"/>
          <w:u w:val="single"/>
        </w:rPr>
      </w:pPr>
      <w:r>
        <w:rPr>
          <w:rFonts w:hint="eastAsia" w:ascii="宋体" w:hAnsi="宋体"/>
          <w:b/>
          <w:color w:val="auto"/>
          <w:sz w:val="24"/>
          <w:szCs w:val="21"/>
        </w:rPr>
        <w:t>投 标 人：</w:t>
      </w:r>
    </w:p>
    <w:p>
      <w:pPr>
        <w:spacing w:line="360" w:lineRule="auto"/>
        <w:jc w:val="left"/>
        <w:rPr>
          <w:rFonts w:ascii="宋体" w:hAnsi="宋体"/>
          <w:b/>
          <w:color w:val="auto"/>
          <w:sz w:val="24"/>
          <w:szCs w:val="21"/>
        </w:rPr>
      </w:pPr>
      <w:r>
        <w:rPr>
          <w:rFonts w:hint="eastAsia" w:ascii="宋体" w:hAnsi="宋体"/>
          <w:b/>
          <w:color w:val="auto"/>
          <w:sz w:val="24"/>
          <w:szCs w:val="21"/>
        </w:rPr>
        <w:t>项目名称：</w:t>
      </w:r>
    </w:p>
    <w:p>
      <w:pPr>
        <w:spacing w:line="360" w:lineRule="auto"/>
        <w:jc w:val="left"/>
        <w:rPr>
          <w:rFonts w:ascii="宋体" w:hAnsi="宋体"/>
          <w:b/>
          <w:color w:val="auto"/>
          <w:sz w:val="24"/>
          <w:szCs w:val="21"/>
          <w:u w:val="single"/>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11"/>
        <w:gridCol w:w="1134"/>
        <w:gridCol w:w="800"/>
        <w:gridCol w:w="1676"/>
        <w:gridCol w:w="131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D9D9D9"/>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序号</w:t>
            </w:r>
          </w:p>
        </w:tc>
        <w:tc>
          <w:tcPr>
            <w:tcW w:w="2611" w:type="dxa"/>
            <w:shd w:val="clear" w:color="auto" w:fill="D9D9D9"/>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名称</w:t>
            </w:r>
          </w:p>
        </w:tc>
        <w:tc>
          <w:tcPr>
            <w:tcW w:w="1134" w:type="dxa"/>
            <w:shd w:val="clear" w:color="auto" w:fill="D9D9D9"/>
            <w:vAlign w:val="center"/>
          </w:tcPr>
          <w:p>
            <w:pPr>
              <w:ind w:left="-48" w:leftChars="-23" w:right="-65" w:rightChars="-31"/>
              <w:jc w:val="center"/>
              <w:rPr>
                <w:rFonts w:ascii="宋体" w:hAnsi="宋体" w:cs="宋体"/>
                <w:color w:val="auto"/>
                <w:kern w:val="0"/>
                <w:sz w:val="24"/>
              </w:rPr>
            </w:pPr>
            <w:r>
              <w:rPr>
                <w:rFonts w:hint="eastAsia" w:ascii="宋体" w:hAnsi="宋体"/>
                <w:color w:val="auto"/>
                <w:sz w:val="24"/>
              </w:rPr>
              <w:t>品牌型号或规格</w:t>
            </w:r>
          </w:p>
        </w:tc>
        <w:tc>
          <w:tcPr>
            <w:tcW w:w="800" w:type="dxa"/>
            <w:shd w:val="clear" w:color="auto" w:fill="D9D9D9"/>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数量</w:t>
            </w:r>
          </w:p>
        </w:tc>
        <w:tc>
          <w:tcPr>
            <w:tcW w:w="1676" w:type="dxa"/>
            <w:shd w:val="clear" w:color="auto" w:fill="D9D9D9"/>
            <w:vAlign w:val="center"/>
          </w:tcPr>
          <w:p>
            <w:pPr>
              <w:spacing w:line="360" w:lineRule="auto"/>
              <w:ind w:left="-48" w:leftChars="-23" w:right="-65" w:rightChars="-31"/>
              <w:jc w:val="center"/>
              <w:rPr>
                <w:rFonts w:ascii="宋体" w:hAnsi="宋体" w:cs="宋体"/>
                <w:color w:val="auto"/>
                <w:kern w:val="0"/>
                <w:sz w:val="24"/>
              </w:rPr>
            </w:pPr>
            <w:r>
              <w:rPr>
                <w:rFonts w:hint="eastAsia" w:ascii="宋体" w:hAnsi="宋体" w:cs="宋体"/>
                <w:color w:val="auto"/>
                <w:kern w:val="0"/>
                <w:sz w:val="24"/>
              </w:rPr>
              <w:t>制造商名称</w:t>
            </w:r>
          </w:p>
        </w:tc>
        <w:tc>
          <w:tcPr>
            <w:tcW w:w="1316" w:type="dxa"/>
            <w:shd w:val="clear" w:color="auto" w:fill="D9D9D9"/>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单价</w:t>
            </w:r>
          </w:p>
        </w:tc>
        <w:tc>
          <w:tcPr>
            <w:tcW w:w="1357" w:type="dxa"/>
            <w:shd w:val="clear" w:color="auto" w:fill="D9D9D9"/>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ind w:left="551" w:hanging="549" w:hangingChars="228"/>
              <w:jc w:val="center"/>
              <w:rPr>
                <w:rFonts w:ascii="宋体" w:hAnsi="宋体"/>
                <w:color w:val="auto"/>
                <w:sz w:val="24"/>
              </w:rPr>
            </w:pPr>
            <w:r>
              <w:rPr>
                <w:rFonts w:hint="eastAsia" w:ascii="宋体" w:hAnsi="宋体"/>
                <w:color w:val="auto"/>
                <w:sz w:val="24"/>
              </w:rPr>
              <w:t>货物1（工程或服务）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377" w:rightChars="-179"/>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jc w:val="center"/>
              <w:rPr>
                <w:rFonts w:ascii="宋体" w:hAnsi="宋体"/>
                <w:color w:val="auto"/>
                <w:sz w:val="24"/>
              </w:rPr>
            </w:pPr>
            <w:r>
              <w:rPr>
                <w:rFonts w:hint="eastAsia" w:ascii="宋体" w:hAnsi="宋体"/>
                <w:color w:val="auto"/>
                <w:sz w:val="24"/>
              </w:rPr>
              <w:t>货物2（工程或服务）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jc w:val="center"/>
              <w:rPr>
                <w:rFonts w:ascii="宋体" w:hAnsi="宋体"/>
                <w:color w:val="auto"/>
                <w:sz w:val="24"/>
              </w:rPr>
            </w:pPr>
            <w:r>
              <w:rPr>
                <w:rFonts w:hint="eastAsia" w:ascii="宋体" w:hAnsi="宋体"/>
                <w:color w:val="auto"/>
                <w:sz w:val="24"/>
              </w:rPr>
              <w:t>货物3（工程或服务）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jc w:val="center"/>
              <w:rPr>
                <w:rFonts w:ascii="宋体" w:hAnsi="宋体"/>
                <w:color w:val="auto"/>
                <w:sz w:val="24"/>
              </w:rPr>
            </w:pPr>
            <w:r>
              <w:rPr>
                <w:rFonts w:hint="eastAsia" w:ascii="宋体" w:hAnsi="宋体"/>
                <w:color w:val="auto"/>
                <w:sz w:val="24"/>
              </w:rPr>
              <w:t>货物4（工程或服务）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jc w:val="center"/>
              <w:rPr>
                <w:rFonts w:ascii="宋体" w:hAnsi="宋体"/>
                <w:color w:val="auto"/>
                <w:sz w:val="24"/>
              </w:rPr>
            </w:pPr>
            <w:r>
              <w:rPr>
                <w:rFonts w:hint="eastAsia" w:ascii="宋体" w:hAnsi="宋体"/>
                <w:color w:val="auto"/>
                <w:sz w:val="24"/>
              </w:rPr>
              <w:t>货物5（工程或服务）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numPr>
                <w:ilvl w:val="0"/>
                <w:numId w:val="56"/>
              </w:numPr>
              <w:tabs>
                <w:tab w:val="left" w:pos="61"/>
              </w:tabs>
              <w:adjustRightInd w:val="0"/>
              <w:snapToGrid w:val="0"/>
              <w:ind w:left="-63" w:leftChars="-30" w:firstLine="0"/>
              <w:jc w:val="right"/>
              <w:rPr>
                <w:rFonts w:ascii="宋体" w:hAnsi="宋体"/>
                <w:color w:val="auto"/>
                <w:sz w:val="24"/>
              </w:rPr>
            </w:pPr>
          </w:p>
        </w:tc>
        <w:tc>
          <w:tcPr>
            <w:tcW w:w="2611" w:type="dxa"/>
            <w:vAlign w:val="center"/>
          </w:tcPr>
          <w:p>
            <w:pPr>
              <w:tabs>
                <w:tab w:val="left" w:pos="0"/>
                <w:tab w:val="left" w:pos="56"/>
              </w:tabs>
              <w:adjustRightInd w:val="0"/>
              <w:snapToGrid w:val="0"/>
              <w:jc w:val="center"/>
              <w:rPr>
                <w:rFonts w:ascii="宋体" w:hAnsi="宋体"/>
                <w:color w:val="auto"/>
                <w:sz w:val="24"/>
              </w:rPr>
            </w:pPr>
            <w:r>
              <w:rPr>
                <w:rFonts w:hint="eastAsia" w:ascii="宋体" w:hAnsi="宋体"/>
                <w:color w:val="auto"/>
                <w:sz w:val="24"/>
              </w:rPr>
              <w:t>货物6（工程或服务）</w:t>
            </w: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vAlign w:val="center"/>
          </w:tcPr>
          <w:p>
            <w:pPr>
              <w:tabs>
                <w:tab w:val="left" w:pos="82"/>
              </w:tabs>
              <w:adjustRightInd w:val="0"/>
              <w:snapToGrid w:val="0"/>
              <w:jc w:val="center"/>
              <w:rPr>
                <w:rFonts w:ascii="宋体" w:hAnsi="宋体"/>
                <w:color w:val="auto"/>
                <w:sz w:val="24"/>
              </w:rPr>
            </w:pPr>
            <w:r>
              <w:rPr>
                <w:rFonts w:hint="eastAsia" w:ascii="宋体" w:hAnsi="宋体"/>
                <w:color w:val="auto"/>
                <w:sz w:val="24"/>
              </w:rPr>
              <w:t>…</w:t>
            </w:r>
          </w:p>
        </w:tc>
        <w:tc>
          <w:tcPr>
            <w:tcW w:w="2611" w:type="dxa"/>
            <w:vAlign w:val="center"/>
          </w:tcPr>
          <w:p>
            <w:pPr>
              <w:spacing w:line="240" w:lineRule="atLeast"/>
              <w:ind w:left="-48" w:leftChars="-23" w:right="-65" w:rightChars="-31"/>
              <w:jc w:val="left"/>
              <w:rPr>
                <w:rFonts w:ascii="宋体" w:hAnsi="宋体" w:cs="宋体"/>
                <w:color w:val="auto"/>
                <w:kern w:val="0"/>
                <w:sz w:val="24"/>
                <w:szCs w:val="24"/>
              </w:rPr>
            </w:pPr>
          </w:p>
        </w:tc>
        <w:tc>
          <w:tcPr>
            <w:tcW w:w="1134" w:type="dxa"/>
            <w:vAlign w:val="center"/>
          </w:tcPr>
          <w:p>
            <w:pPr>
              <w:spacing w:line="240" w:lineRule="atLeast"/>
              <w:ind w:left="-48" w:leftChars="-23" w:right="-65" w:rightChars="-31"/>
              <w:jc w:val="left"/>
              <w:rPr>
                <w:rFonts w:ascii="宋体" w:hAnsi="宋体" w:cs="宋体"/>
                <w:color w:val="auto"/>
                <w:kern w:val="0"/>
                <w:sz w:val="24"/>
                <w:szCs w:val="24"/>
              </w:rPr>
            </w:pPr>
          </w:p>
        </w:tc>
        <w:tc>
          <w:tcPr>
            <w:tcW w:w="800" w:type="dxa"/>
            <w:vAlign w:val="center"/>
          </w:tcPr>
          <w:p>
            <w:pPr>
              <w:spacing w:line="240" w:lineRule="atLeast"/>
              <w:ind w:left="-48" w:leftChars="-23" w:right="-65" w:rightChars="-31"/>
              <w:jc w:val="center"/>
              <w:rPr>
                <w:rFonts w:ascii="宋体" w:hAnsi="宋体" w:cs="宋体"/>
                <w:color w:val="auto"/>
                <w:kern w:val="0"/>
                <w:sz w:val="24"/>
                <w:szCs w:val="24"/>
              </w:rPr>
            </w:pPr>
          </w:p>
        </w:tc>
        <w:tc>
          <w:tcPr>
            <w:tcW w:w="1676" w:type="dxa"/>
            <w:vAlign w:val="center"/>
          </w:tcPr>
          <w:p>
            <w:pPr>
              <w:spacing w:line="240" w:lineRule="atLeast"/>
              <w:ind w:left="-48" w:leftChars="-23" w:right="-65" w:rightChars="-31"/>
              <w:jc w:val="center"/>
              <w:rPr>
                <w:rFonts w:ascii="宋体" w:hAnsi="宋体" w:cs="宋体"/>
                <w:color w:val="auto"/>
                <w:kern w:val="0"/>
                <w:sz w:val="24"/>
                <w:szCs w:val="24"/>
              </w:rPr>
            </w:pPr>
          </w:p>
        </w:tc>
        <w:tc>
          <w:tcPr>
            <w:tcW w:w="1316" w:type="dxa"/>
            <w:vAlign w:val="center"/>
          </w:tcPr>
          <w:p>
            <w:pPr>
              <w:spacing w:line="240" w:lineRule="atLeast"/>
              <w:ind w:left="-48" w:leftChars="-23" w:right="-65" w:rightChars="-31"/>
              <w:jc w:val="left"/>
              <w:rPr>
                <w:rFonts w:ascii="宋体" w:hAnsi="宋体" w:cs="宋体"/>
                <w:color w:val="auto"/>
                <w:kern w:val="0"/>
                <w:sz w:val="24"/>
                <w:szCs w:val="24"/>
              </w:rPr>
            </w:pPr>
          </w:p>
        </w:tc>
        <w:tc>
          <w:tcPr>
            <w:tcW w:w="1357" w:type="dxa"/>
            <w:vAlign w:val="center"/>
          </w:tcPr>
          <w:p>
            <w:pPr>
              <w:spacing w:line="240" w:lineRule="atLeast"/>
              <w:ind w:left="-48" w:leftChars="-23" w:right="-65" w:rightChars="-31"/>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73" w:type="dxa"/>
            <w:gridSpan w:val="5"/>
            <w:vAlign w:val="center"/>
          </w:tcPr>
          <w:p>
            <w:pPr>
              <w:spacing w:line="240" w:lineRule="atLeast"/>
              <w:ind w:left="-48" w:leftChars="-23" w:right="-65" w:rightChars="-31"/>
              <w:jc w:val="center"/>
              <w:rPr>
                <w:rFonts w:ascii="宋体" w:hAnsi="宋体" w:cs="宋体"/>
                <w:color w:val="auto"/>
                <w:kern w:val="0"/>
                <w:sz w:val="24"/>
                <w:szCs w:val="24"/>
              </w:rPr>
            </w:pPr>
            <w:r>
              <w:rPr>
                <w:rFonts w:hint="eastAsia" w:ascii="宋体" w:hAnsi="宋体" w:cs="宋体"/>
                <w:color w:val="auto"/>
                <w:kern w:val="0"/>
                <w:sz w:val="24"/>
                <w:szCs w:val="24"/>
              </w:rPr>
              <w:t>合计</w:t>
            </w:r>
          </w:p>
        </w:tc>
        <w:tc>
          <w:tcPr>
            <w:tcW w:w="2673" w:type="dxa"/>
            <w:gridSpan w:val="2"/>
            <w:vAlign w:val="center"/>
          </w:tcPr>
          <w:p>
            <w:pPr>
              <w:spacing w:line="240" w:lineRule="atLeast"/>
              <w:ind w:left="-48" w:leftChars="-23" w:right="-65" w:rightChars="-31"/>
              <w:jc w:val="left"/>
              <w:rPr>
                <w:rFonts w:ascii="宋体" w:hAnsi="宋体" w:cs="宋体"/>
                <w:color w:val="auto"/>
                <w:kern w:val="0"/>
                <w:sz w:val="24"/>
                <w:szCs w:val="24"/>
              </w:rPr>
            </w:pPr>
          </w:p>
        </w:tc>
      </w:tr>
    </w:tbl>
    <w:p>
      <w:pPr>
        <w:spacing w:line="360" w:lineRule="auto"/>
        <w:ind w:left="1056" w:hanging="1052" w:hangingChars="437"/>
        <w:jc w:val="left"/>
        <w:rPr>
          <w:rFonts w:ascii="宋体" w:hAnsi="宋体"/>
          <w:color w:val="auto"/>
          <w:sz w:val="24"/>
        </w:rPr>
      </w:pPr>
      <w:r>
        <w:rPr>
          <w:rFonts w:hint="eastAsia" w:ascii="宋体" w:hAnsi="宋体"/>
          <w:color w:val="auto"/>
          <w:sz w:val="24"/>
        </w:rPr>
        <w:t>说明：1．所有价格均用人民币表示，单位为元。</w:t>
      </w:r>
    </w:p>
    <w:p>
      <w:pPr>
        <w:spacing w:line="360" w:lineRule="auto"/>
        <w:ind w:left="1066" w:leftChars="339" w:hanging="351" w:hangingChars="146"/>
        <w:jc w:val="left"/>
        <w:rPr>
          <w:rFonts w:ascii="宋体" w:hAnsi="宋体"/>
          <w:color w:val="auto"/>
          <w:sz w:val="24"/>
        </w:rPr>
      </w:pPr>
      <w:r>
        <w:rPr>
          <w:rFonts w:hint="eastAsia" w:ascii="宋体" w:hAnsi="宋体"/>
          <w:color w:val="auto"/>
          <w:sz w:val="24"/>
        </w:rPr>
        <w:t>2．报价明细表合计应与《开标一览表》中的投标总报价一致。</w:t>
      </w:r>
    </w:p>
    <w:p>
      <w:pPr>
        <w:spacing w:line="360" w:lineRule="auto"/>
        <w:ind w:left="1066" w:leftChars="339" w:hanging="351" w:hangingChars="146"/>
        <w:jc w:val="left"/>
        <w:rPr>
          <w:rFonts w:ascii="宋体" w:hAnsi="宋体"/>
          <w:color w:val="auto"/>
          <w:sz w:val="24"/>
        </w:rPr>
      </w:pPr>
      <w:r>
        <w:rPr>
          <w:rFonts w:hint="eastAsia" w:ascii="宋体" w:hAnsi="宋体"/>
          <w:color w:val="auto"/>
          <w:sz w:val="24"/>
        </w:rPr>
        <w:t>3．未提供详细的货物（工程或服务）报价明细</w:t>
      </w:r>
      <w:r>
        <w:rPr>
          <w:rFonts w:hint="eastAsia" w:ascii="宋体" w:hAnsi="宋体" w:cs="Corbel"/>
          <w:color w:val="auto"/>
          <w:sz w:val="24"/>
        </w:rPr>
        <w:t>，</w:t>
      </w:r>
      <w:r>
        <w:rPr>
          <w:rFonts w:hint="eastAsia" w:ascii="宋体" w:hAnsi="宋体"/>
          <w:color w:val="auto"/>
          <w:sz w:val="24"/>
        </w:rPr>
        <w:t>导致的后果由投标人自行承担。</w:t>
      </w:r>
    </w:p>
    <w:p>
      <w:pPr>
        <w:spacing w:line="360" w:lineRule="auto"/>
        <w:ind w:left="957" w:hanging="953" w:hangingChars="396"/>
        <w:jc w:val="left"/>
        <w:rPr>
          <w:rFonts w:ascii="宋体" w:hAnsi="宋体"/>
          <w:color w:val="auto"/>
          <w:sz w:val="24"/>
          <w:szCs w:val="24"/>
        </w:rPr>
      </w:pPr>
    </w:p>
    <w:p>
      <w:pPr>
        <w:spacing w:line="360" w:lineRule="auto"/>
        <w:ind w:left="957" w:hanging="953" w:hangingChars="396"/>
        <w:jc w:val="left"/>
        <w:rPr>
          <w:rFonts w:ascii="宋体" w:hAnsi="宋体"/>
          <w:color w:val="auto"/>
          <w:sz w:val="24"/>
          <w:szCs w:val="24"/>
        </w:rPr>
      </w:pPr>
    </w:p>
    <w:p>
      <w:pPr>
        <w:spacing w:line="360" w:lineRule="auto"/>
        <w:ind w:left="957" w:hanging="953" w:hangingChars="396"/>
        <w:jc w:val="left"/>
        <w:rPr>
          <w:rFonts w:ascii="宋体" w:hAnsi="宋体"/>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74" w:firstLineChars="1400"/>
        <w:rPr>
          <w:rFonts w:hAnsi="宋体"/>
          <w:b/>
          <w:bCs/>
          <w:color w:val="auto"/>
          <w:sz w:val="24"/>
        </w:rPr>
      </w:pPr>
      <w:r>
        <w:rPr>
          <w:rFonts w:hint="eastAsia" w:ascii="宋体" w:hAnsi="宋体"/>
          <w:b/>
          <w:bCs/>
          <w:color w:val="auto"/>
          <w:sz w:val="24"/>
          <w:szCs w:val="21"/>
        </w:rPr>
        <w:t>投标</w:t>
      </w:r>
      <w:r>
        <w:rPr>
          <w:rFonts w:hint="eastAsia" w:hAnsi="宋体"/>
          <w:b/>
          <w:bCs/>
          <w:color w:val="auto"/>
          <w:sz w:val="24"/>
        </w:rPr>
        <w:t>时间：</w:t>
      </w:r>
    </w:p>
    <w:p>
      <w:pPr>
        <w:spacing w:before="100" w:beforeAutospacing="1" w:after="100" w:afterAutospacing="1" w:line="360" w:lineRule="auto"/>
        <w:ind w:firstLine="3374" w:firstLineChars="1400"/>
        <w:rPr>
          <w:rFonts w:hAnsi="宋体"/>
          <w:b/>
          <w:bCs/>
          <w:color w:val="auto"/>
          <w:sz w:val="24"/>
        </w:rPr>
      </w:pPr>
    </w:p>
    <w:p>
      <w:pPr>
        <w:pStyle w:val="4"/>
        <w:numPr>
          <w:ilvl w:val="0"/>
          <w:numId w:val="53"/>
        </w:numPr>
        <w:spacing w:before="100" w:beforeAutospacing="1" w:after="158" w:afterLines="50" w:line="360" w:lineRule="auto"/>
        <w:jc w:val="left"/>
        <w:rPr>
          <w:rFonts w:ascii="宋体" w:hAnsi="宋体"/>
          <w:color w:val="auto"/>
        </w:rPr>
      </w:pPr>
      <w:bookmarkStart w:id="163" w:name="_Toc494721107"/>
      <w:bookmarkStart w:id="164" w:name="_Toc494665560"/>
      <w:bookmarkStart w:id="165" w:name="_Toc20735"/>
      <w:bookmarkStart w:id="166" w:name="_Toc494577412"/>
      <w:bookmarkStart w:id="167" w:name="_Toc494702277"/>
      <w:bookmarkStart w:id="168" w:name="_Toc494665007"/>
      <w:bookmarkStart w:id="169" w:name="_Toc494745324"/>
      <w:bookmarkStart w:id="170" w:name="_Toc494665957"/>
      <w:r>
        <w:rPr>
          <w:rFonts w:hint="eastAsia" w:ascii="宋体" w:hAnsi="宋体"/>
          <w:color w:val="auto"/>
        </w:rPr>
        <w:t>小型和微型企业、监狱企业、残疾人福利性单位货物汇总表</w:t>
      </w:r>
      <w:bookmarkEnd w:id="163"/>
      <w:bookmarkEnd w:id="164"/>
      <w:bookmarkEnd w:id="165"/>
      <w:bookmarkEnd w:id="166"/>
      <w:bookmarkEnd w:id="167"/>
      <w:bookmarkEnd w:id="168"/>
      <w:bookmarkEnd w:id="169"/>
      <w:bookmarkEnd w:id="170"/>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52"/>
        <w:gridCol w:w="1560"/>
        <w:gridCol w:w="1133"/>
        <w:gridCol w:w="848"/>
        <w:gridCol w:w="1100"/>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序号</w:t>
            </w:r>
          </w:p>
        </w:tc>
        <w:tc>
          <w:tcPr>
            <w:tcW w:w="1552"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制造商名称</w:t>
            </w:r>
          </w:p>
        </w:tc>
        <w:tc>
          <w:tcPr>
            <w:tcW w:w="1560"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货物名称</w:t>
            </w:r>
          </w:p>
        </w:tc>
        <w:tc>
          <w:tcPr>
            <w:tcW w:w="1133"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规格型号</w:t>
            </w:r>
          </w:p>
        </w:tc>
        <w:tc>
          <w:tcPr>
            <w:tcW w:w="848"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数量</w:t>
            </w:r>
          </w:p>
        </w:tc>
        <w:tc>
          <w:tcPr>
            <w:tcW w:w="1100"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单价</w:t>
            </w:r>
          </w:p>
        </w:tc>
        <w:tc>
          <w:tcPr>
            <w:tcW w:w="1134"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分项</w:t>
            </w:r>
          </w:p>
          <w:p>
            <w:pPr>
              <w:adjustRightInd w:val="0"/>
              <w:snapToGrid w:val="0"/>
              <w:ind w:left="-88" w:leftChars="-42"/>
              <w:jc w:val="center"/>
              <w:rPr>
                <w:rFonts w:ascii="宋体" w:hAnsi="宋体"/>
                <w:color w:val="auto"/>
                <w:sz w:val="24"/>
              </w:rPr>
            </w:pPr>
            <w:r>
              <w:rPr>
                <w:rFonts w:hint="eastAsia" w:ascii="宋体" w:hAnsi="宋体"/>
                <w:color w:val="auto"/>
                <w:sz w:val="24"/>
              </w:rPr>
              <w:t>合计</w:t>
            </w:r>
          </w:p>
        </w:tc>
        <w:tc>
          <w:tcPr>
            <w:tcW w:w="1468" w:type="dxa"/>
            <w:shd w:val="clear" w:color="auto" w:fill="F2F2F2"/>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1</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2</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3</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4</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5</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6</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auto"/>
                <w:kern w:val="0"/>
                <w:sz w:val="24"/>
              </w:rPr>
            </w:pPr>
            <w:r>
              <w:rPr>
                <w:rFonts w:hint="eastAsia" w:ascii="宋体" w:hAnsi="宋体" w:cs="宋体"/>
                <w:color w:val="auto"/>
                <w:kern w:val="0"/>
                <w:sz w:val="24"/>
              </w:rPr>
              <w:t>…</w:t>
            </w:r>
          </w:p>
        </w:tc>
        <w:tc>
          <w:tcPr>
            <w:tcW w:w="1552" w:type="dxa"/>
          </w:tcPr>
          <w:p>
            <w:pPr>
              <w:tabs>
                <w:tab w:val="left" w:pos="0"/>
                <w:tab w:val="left" w:pos="56"/>
              </w:tabs>
              <w:adjustRightInd w:val="0"/>
              <w:snapToGrid w:val="0"/>
              <w:jc w:val="center"/>
              <w:rPr>
                <w:rFonts w:ascii="宋体" w:hAnsi="宋体" w:cs="宋体"/>
                <w:color w:val="auto"/>
                <w:kern w:val="0"/>
                <w:sz w:val="24"/>
              </w:rPr>
            </w:pPr>
          </w:p>
        </w:tc>
        <w:tc>
          <w:tcPr>
            <w:tcW w:w="1560" w:type="dxa"/>
            <w:vAlign w:val="center"/>
          </w:tcPr>
          <w:p>
            <w:pPr>
              <w:tabs>
                <w:tab w:val="left" w:pos="0"/>
                <w:tab w:val="left" w:pos="56"/>
              </w:tabs>
              <w:adjustRightInd w:val="0"/>
              <w:snapToGrid w:val="0"/>
              <w:jc w:val="center"/>
              <w:rPr>
                <w:rFonts w:ascii="宋体" w:hAnsi="宋体" w:cs="宋体"/>
                <w:color w:val="auto"/>
                <w:kern w:val="0"/>
                <w:sz w:val="24"/>
              </w:rPr>
            </w:pPr>
          </w:p>
        </w:tc>
        <w:tc>
          <w:tcPr>
            <w:tcW w:w="1133" w:type="dxa"/>
            <w:vAlign w:val="center"/>
          </w:tcPr>
          <w:p>
            <w:pPr>
              <w:tabs>
                <w:tab w:val="left" w:pos="0"/>
                <w:tab w:val="left" w:pos="56"/>
              </w:tabs>
              <w:adjustRightInd w:val="0"/>
              <w:snapToGrid w:val="0"/>
              <w:jc w:val="center"/>
              <w:rPr>
                <w:rFonts w:ascii="宋体" w:hAnsi="宋体" w:cs="宋体"/>
                <w:color w:val="auto"/>
                <w:kern w:val="0"/>
                <w:sz w:val="24"/>
              </w:rPr>
            </w:pPr>
          </w:p>
        </w:tc>
        <w:tc>
          <w:tcPr>
            <w:tcW w:w="848" w:type="dxa"/>
            <w:vAlign w:val="center"/>
          </w:tcPr>
          <w:p>
            <w:pPr>
              <w:tabs>
                <w:tab w:val="left" w:pos="0"/>
                <w:tab w:val="left" w:pos="56"/>
              </w:tabs>
              <w:adjustRightInd w:val="0"/>
              <w:snapToGrid w:val="0"/>
              <w:jc w:val="center"/>
              <w:rPr>
                <w:rFonts w:ascii="宋体" w:hAnsi="宋体" w:cs="宋体"/>
                <w:color w:val="auto"/>
                <w:kern w:val="0"/>
                <w:sz w:val="24"/>
              </w:rPr>
            </w:pPr>
          </w:p>
        </w:tc>
        <w:tc>
          <w:tcPr>
            <w:tcW w:w="1100" w:type="dxa"/>
            <w:vAlign w:val="center"/>
          </w:tcPr>
          <w:p>
            <w:pPr>
              <w:tabs>
                <w:tab w:val="left" w:pos="0"/>
                <w:tab w:val="left" w:pos="56"/>
              </w:tabs>
              <w:adjustRightInd w:val="0"/>
              <w:snapToGrid w:val="0"/>
              <w:jc w:val="center"/>
              <w:rPr>
                <w:rFonts w:ascii="宋体" w:hAnsi="宋体" w:cs="宋体"/>
                <w:color w:val="auto"/>
                <w:kern w:val="0"/>
                <w:sz w:val="24"/>
              </w:rPr>
            </w:pPr>
          </w:p>
        </w:tc>
        <w:tc>
          <w:tcPr>
            <w:tcW w:w="1134" w:type="dxa"/>
            <w:vAlign w:val="center"/>
          </w:tcPr>
          <w:p>
            <w:pPr>
              <w:tabs>
                <w:tab w:val="left" w:pos="0"/>
                <w:tab w:val="left" w:pos="56"/>
              </w:tabs>
              <w:adjustRightInd w:val="0"/>
              <w:snapToGrid w:val="0"/>
              <w:jc w:val="center"/>
              <w:rPr>
                <w:rFonts w:ascii="宋体" w:hAnsi="宋体" w:cs="宋体"/>
                <w:color w:val="auto"/>
                <w:kern w:val="0"/>
                <w:sz w:val="24"/>
              </w:rPr>
            </w:pPr>
          </w:p>
        </w:tc>
        <w:tc>
          <w:tcPr>
            <w:tcW w:w="1468" w:type="dxa"/>
            <w:vAlign w:val="center"/>
          </w:tcPr>
          <w:p>
            <w:pPr>
              <w:tabs>
                <w:tab w:val="left" w:pos="0"/>
                <w:tab w:val="left" w:pos="56"/>
              </w:tabs>
              <w:adjustRightInd w:val="0"/>
              <w:snapToGrid w:val="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12" w:type="dxa"/>
            <w:gridSpan w:val="6"/>
          </w:tcPr>
          <w:p>
            <w:pPr>
              <w:spacing w:line="360" w:lineRule="auto"/>
              <w:jc w:val="center"/>
              <w:rPr>
                <w:rFonts w:ascii="宋体" w:hAnsi="宋体"/>
                <w:bCs/>
                <w:color w:val="auto"/>
                <w:sz w:val="24"/>
              </w:rPr>
            </w:pPr>
            <w:r>
              <w:rPr>
                <w:rFonts w:hint="eastAsia" w:ascii="宋体" w:hAnsi="宋体"/>
                <w:bCs/>
                <w:color w:val="auto"/>
                <w:sz w:val="24"/>
              </w:rPr>
              <w:t>合计</w:t>
            </w:r>
          </w:p>
        </w:tc>
        <w:tc>
          <w:tcPr>
            <w:tcW w:w="2602" w:type="dxa"/>
            <w:gridSpan w:val="2"/>
            <w:vAlign w:val="center"/>
          </w:tcPr>
          <w:p>
            <w:pPr>
              <w:spacing w:line="360" w:lineRule="auto"/>
              <w:jc w:val="left"/>
              <w:rPr>
                <w:rFonts w:ascii="宋体" w:hAnsi="宋体"/>
                <w:bCs/>
                <w:color w:val="auto"/>
                <w:sz w:val="24"/>
              </w:rPr>
            </w:pPr>
          </w:p>
        </w:tc>
      </w:tr>
    </w:tbl>
    <w:p>
      <w:pPr>
        <w:spacing w:line="360" w:lineRule="auto"/>
        <w:ind w:left="1056" w:hanging="1052" w:hangingChars="437"/>
        <w:jc w:val="left"/>
        <w:rPr>
          <w:rFonts w:ascii="宋体" w:hAnsi="宋体"/>
          <w:color w:val="auto"/>
          <w:sz w:val="24"/>
        </w:rPr>
      </w:pPr>
      <w:r>
        <w:rPr>
          <w:rFonts w:hint="eastAsia" w:ascii="宋体" w:hAnsi="宋体"/>
          <w:color w:val="auto"/>
          <w:sz w:val="24"/>
        </w:rPr>
        <w:t>说明：1</w:t>
      </w:r>
      <w:r>
        <w:rPr>
          <w:rFonts w:hint="eastAsia" w:ascii="宋体" w:hAnsi="宋体"/>
          <w:color w:val="auto"/>
          <w:sz w:val="24"/>
          <w:szCs w:val="24"/>
        </w:rPr>
        <w:t>．</w:t>
      </w:r>
      <w:r>
        <w:rPr>
          <w:rFonts w:hint="eastAsia" w:ascii="宋体" w:hAnsi="宋体"/>
          <w:color w:val="auto"/>
          <w:sz w:val="24"/>
        </w:rPr>
        <w:t>所有价格均用人民币表示，单位为元。</w:t>
      </w:r>
    </w:p>
    <w:p>
      <w:pPr>
        <w:spacing w:line="360" w:lineRule="auto"/>
        <w:ind w:left="1066" w:leftChars="339" w:hanging="351" w:hangingChars="146"/>
        <w:jc w:val="left"/>
        <w:rPr>
          <w:rFonts w:ascii="宋体" w:hAnsi="宋体"/>
          <w:color w:val="auto"/>
          <w:sz w:val="24"/>
        </w:rPr>
      </w:pPr>
      <w:r>
        <w:rPr>
          <w:rFonts w:hint="eastAsia" w:ascii="宋体" w:hAnsi="宋体"/>
          <w:color w:val="auto"/>
          <w:sz w:val="24"/>
        </w:rPr>
        <w:t>2</w:t>
      </w:r>
      <w:r>
        <w:rPr>
          <w:rFonts w:hint="eastAsia" w:ascii="宋体" w:hAnsi="宋体"/>
          <w:color w:val="auto"/>
          <w:sz w:val="24"/>
          <w:szCs w:val="24"/>
        </w:rPr>
        <w:t>．</w:t>
      </w:r>
      <w:r>
        <w:rPr>
          <w:rFonts w:hint="eastAsia" w:ascii="宋体" w:hAnsi="宋体"/>
          <w:color w:val="auto"/>
          <w:sz w:val="24"/>
        </w:rPr>
        <w:t>投标人提供的相关证明文件对应页码填写到上表“投标文件对应的页码”中。</w:t>
      </w:r>
      <w:r>
        <w:rPr>
          <w:rFonts w:hint="eastAsia" w:ascii="宋体" w:hAnsi="宋体" w:cs="Corbel"/>
          <w:color w:val="auto"/>
          <w:sz w:val="24"/>
        </w:rPr>
        <w:t>如未提供页码或内容页码完全不一致的，</w:t>
      </w:r>
      <w:r>
        <w:rPr>
          <w:rFonts w:hint="eastAsia" w:ascii="宋体" w:hAnsi="宋体"/>
          <w:color w:val="auto"/>
          <w:sz w:val="24"/>
        </w:rPr>
        <w:t>导致的后果由投标人自行承担。</w:t>
      </w: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171" w:name="_Toc494721108"/>
      <w:bookmarkStart w:id="172" w:name="_Toc494665958"/>
      <w:bookmarkStart w:id="173" w:name="_Toc494665008"/>
      <w:bookmarkStart w:id="174" w:name="_Toc494702278"/>
      <w:bookmarkStart w:id="175" w:name="_Toc494745325"/>
      <w:bookmarkStart w:id="176" w:name="_Toc494665561"/>
      <w:r>
        <w:rPr>
          <w:rFonts w:hint="eastAsia" w:ascii="宋体" w:hAnsi="宋体"/>
          <w:color w:val="auto"/>
        </w:rPr>
        <w:t xml:space="preserve">          </w:t>
      </w:r>
      <w:bookmarkStart w:id="177" w:name="_Toc6582"/>
      <w:r>
        <w:rPr>
          <w:rFonts w:hint="eastAsia" w:ascii="宋体" w:hAnsi="宋体"/>
          <w:color w:val="auto"/>
        </w:rPr>
        <w:t>投标货物（工程或服务）清单</w:t>
      </w:r>
      <w:bookmarkEnd w:id="171"/>
      <w:bookmarkEnd w:id="172"/>
      <w:bookmarkEnd w:id="173"/>
      <w:bookmarkEnd w:id="174"/>
      <w:bookmarkEnd w:id="175"/>
      <w:bookmarkEnd w:id="176"/>
      <w:bookmarkEnd w:id="177"/>
    </w:p>
    <w:p>
      <w:pPr>
        <w:adjustRightInd w:val="0"/>
        <w:snapToGrid w:val="0"/>
        <w:spacing w:line="360" w:lineRule="auto"/>
        <w:rPr>
          <w:rFonts w:ascii="宋体" w:hAnsi="宋体"/>
          <w:b/>
          <w:color w:val="auto"/>
          <w:sz w:val="24"/>
        </w:rPr>
      </w:pPr>
      <w:r>
        <w:rPr>
          <w:rFonts w:hint="eastAsia" w:ascii="宋体" w:hAnsi="宋体"/>
          <w:b/>
          <w:color w:val="auto"/>
          <w:sz w:val="24"/>
        </w:rPr>
        <w:t>投 标 人：</w:t>
      </w:r>
    </w:p>
    <w:p>
      <w:pPr>
        <w:adjustRightInd w:val="0"/>
        <w:snapToGrid w:val="0"/>
        <w:spacing w:line="360" w:lineRule="auto"/>
        <w:rPr>
          <w:rFonts w:ascii="宋体"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3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5"/>
        <w:gridCol w:w="2722"/>
        <w:gridCol w:w="2459"/>
        <w:gridCol w:w="851"/>
        <w:gridCol w:w="25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5" w:type="dxa"/>
            <w:tcBorders>
              <w:top w:val="single" w:color="auto" w:sz="4" w:space="0"/>
              <w:bottom w:val="single" w:color="auto" w:sz="4" w:space="0"/>
              <w:right w:val="single" w:color="auto" w:sz="4" w:space="0"/>
            </w:tcBorders>
            <w:shd w:val="clear" w:color="auto" w:fill="F2F2F2"/>
            <w:vAlign w:val="center"/>
          </w:tcPr>
          <w:p>
            <w:pPr>
              <w:spacing w:line="360" w:lineRule="auto"/>
              <w:ind w:left="-23" w:leftChars="-11" w:right="-84" w:rightChars="-40"/>
              <w:jc w:val="center"/>
              <w:rPr>
                <w:rFonts w:ascii="宋体" w:hAnsi="宋体" w:cs="宋体"/>
                <w:color w:val="auto"/>
                <w:kern w:val="0"/>
                <w:sz w:val="24"/>
              </w:rPr>
            </w:pPr>
            <w:r>
              <w:rPr>
                <w:rFonts w:hint="eastAsia" w:ascii="宋体" w:hAnsi="宋体" w:cs="宋体"/>
                <w:color w:val="auto"/>
                <w:kern w:val="0"/>
                <w:sz w:val="24"/>
              </w:rPr>
              <w:t>序号</w:t>
            </w:r>
          </w:p>
        </w:tc>
        <w:tc>
          <w:tcPr>
            <w:tcW w:w="2722"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货物（工程或服务）名称</w:t>
            </w:r>
          </w:p>
        </w:tc>
        <w:tc>
          <w:tcPr>
            <w:tcW w:w="2459"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主要规格、技术参数</w:t>
            </w:r>
          </w:p>
        </w:tc>
        <w:tc>
          <w:tcPr>
            <w:tcW w:w="851"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数量</w:t>
            </w:r>
          </w:p>
        </w:tc>
        <w:tc>
          <w:tcPr>
            <w:tcW w:w="2593" w:type="dxa"/>
            <w:tcBorders>
              <w:top w:val="single" w:color="auto" w:sz="4" w:space="0"/>
              <w:left w:val="single" w:color="auto" w:sz="4" w:space="0"/>
              <w:bottom w:val="single" w:color="auto" w:sz="4" w:space="0"/>
            </w:tcBorders>
            <w:shd w:val="clear" w:color="auto" w:fill="F2F2F2"/>
            <w:vAlign w:val="center"/>
          </w:tcPr>
          <w:p>
            <w:pPr>
              <w:spacing w:line="360" w:lineRule="auto"/>
              <w:ind w:left="-23" w:leftChars="-11" w:right="-65" w:rightChars="-31"/>
              <w:jc w:val="center"/>
              <w:rPr>
                <w:rFonts w:ascii="宋体" w:hAnsi="宋体" w:cs="宋体"/>
                <w:color w:val="auto"/>
                <w:kern w:val="0"/>
                <w:sz w:val="24"/>
              </w:rPr>
            </w:pPr>
            <w:r>
              <w:rPr>
                <w:rFonts w:hint="eastAsia" w:ascii="宋体" w:hAnsi="宋体" w:cs="宋体"/>
                <w:color w:val="auto"/>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tcBorders>
              <w:top w:val="single" w:color="auto" w:sz="4" w:space="0"/>
            </w:tcBorders>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1</w:t>
            </w:r>
          </w:p>
        </w:tc>
        <w:tc>
          <w:tcPr>
            <w:tcW w:w="2722" w:type="dxa"/>
            <w:tcBorders>
              <w:top w:val="single" w:color="auto" w:sz="4" w:space="0"/>
            </w:tcBorders>
            <w:vAlign w:val="center"/>
          </w:tcPr>
          <w:p>
            <w:pPr>
              <w:adjustRightInd w:val="0"/>
              <w:snapToGrid w:val="0"/>
              <w:ind w:left="-88" w:leftChars="-42"/>
              <w:jc w:val="center"/>
              <w:rPr>
                <w:rFonts w:ascii="宋体" w:hAnsi="宋体"/>
                <w:color w:val="auto"/>
                <w:sz w:val="24"/>
              </w:rPr>
            </w:pPr>
          </w:p>
        </w:tc>
        <w:tc>
          <w:tcPr>
            <w:tcW w:w="2459" w:type="dxa"/>
            <w:tcBorders>
              <w:top w:val="single" w:color="auto" w:sz="4" w:space="0"/>
            </w:tcBorders>
            <w:vAlign w:val="center"/>
          </w:tcPr>
          <w:p>
            <w:pPr>
              <w:adjustRightInd w:val="0"/>
              <w:snapToGrid w:val="0"/>
              <w:jc w:val="center"/>
              <w:rPr>
                <w:rFonts w:ascii="宋体" w:hAnsi="宋体"/>
                <w:color w:val="auto"/>
                <w:sz w:val="24"/>
              </w:rPr>
            </w:pPr>
          </w:p>
        </w:tc>
        <w:tc>
          <w:tcPr>
            <w:tcW w:w="851" w:type="dxa"/>
            <w:tcBorders>
              <w:top w:val="single" w:color="auto" w:sz="4" w:space="0"/>
            </w:tcBorders>
            <w:vAlign w:val="center"/>
          </w:tcPr>
          <w:p>
            <w:pPr>
              <w:adjustRightInd w:val="0"/>
              <w:snapToGrid w:val="0"/>
              <w:jc w:val="center"/>
              <w:rPr>
                <w:rFonts w:ascii="宋体" w:hAnsi="宋体"/>
                <w:color w:val="auto"/>
                <w:sz w:val="24"/>
              </w:rPr>
            </w:pPr>
          </w:p>
        </w:tc>
        <w:tc>
          <w:tcPr>
            <w:tcW w:w="2593" w:type="dxa"/>
            <w:tcBorders>
              <w:top w:val="single" w:color="auto" w:sz="4" w:space="0"/>
            </w:tcBorders>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2</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jc w:val="center"/>
              <w:rPr>
                <w:rFonts w:ascii="宋体" w:hAnsi="宋体"/>
                <w:color w:val="auto"/>
                <w:sz w:val="24"/>
              </w:rPr>
            </w:pPr>
          </w:p>
        </w:tc>
        <w:tc>
          <w:tcPr>
            <w:tcW w:w="851" w:type="dxa"/>
            <w:vAlign w:val="center"/>
          </w:tcPr>
          <w:p>
            <w:pPr>
              <w:adjustRightInd w:val="0"/>
              <w:snapToGrid w:val="0"/>
              <w:jc w:val="center"/>
              <w:rPr>
                <w:rFonts w:ascii="宋体" w:hAnsi="宋体"/>
                <w:color w:val="auto"/>
                <w:sz w:val="24"/>
              </w:rPr>
            </w:pPr>
          </w:p>
        </w:tc>
        <w:tc>
          <w:tcPr>
            <w:tcW w:w="2593"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3</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ind w:left="-88" w:leftChars="-42"/>
              <w:jc w:val="center"/>
              <w:rPr>
                <w:rFonts w:ascii="宋体" w:hAnsi="宋体"/>
                <w:color w:val="auto"/>
                <w:sz w:val="24"/>
              </w:rPr>
            </w:pPr>
          </w:p>
        </w:tc>
        <w:tc>
          <w:tcPr>
            <w:tcW w:w="851" w:type="dxa"/>
            <w:vAlign w:val="center"/>
          </w:tcPr>
          <w:p>
            <w:pPr>
              <w:adjustRightInd w:val="0"/>
              <w:snapToGrid w:val="0"/>
              <w:ind w:left="-88" w:leftChars="-42"/>
              <w:jc w:val="center"/>
              <w:rPr>
                <w:rFonts w:ascii="宋体" w:hAnsi="宋体"/>
                <w:color w:val="auto"/>
                <w:sz w:val="24"/>
              </w:rPr>
            </w:pPr>
          </w:p>
        </w:tc>
        <w:tc>
          <w:tcPr>
            <w:tcW w:w="2593" w:type="dxa"/>
            <w:vAlign w:val="center"/>
          </w:tcPr>
          <w:p>
            <w:pPr>
              <w:adjustRightInd w:val="0"/>
              <w:snapToGrid w:val="0"/>
              <w:ind w:left="-88" w:leftChars="-42"/>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4</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jc w:val="center"/>
              <w:rPr>
                <w:rFonts w:ascii="宋体" w:hAnsi="宋体"/>
                <w:color w:val="auto"/>
                <w:sz w:val="24"/>
              </w:rPr>
            </w:pPr>
          </w:p>
        </w:tc>
        <w:tc>
          <w:tcPr>
            <w:tcW w:w="851" w:type="dxa"/>
            <w:vAlign w:val="center"/>
          </w:tcPr>
          <w:p>
            <w:pPr>
              <w:adjustRightInd w:val="0"/>
              <w:snapToGrid w:val="0"/>
              <w:jc w:val="center"/>
              <w:rPr>
                <w:rFonts w:ascii="宋体" w:hAnsi="宋体"/>
                <w:color w:val="auto"/>
                <w:sz w:val="24"/>
              </w:rPr>
            </w:pPr>
          </w:p>
        </w:tc>
        <w:tc>
          <w:tcPr>
            <w:tcW w:w="2593"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5</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jc w:val="center"/>
              <w:rPr>
                <w:rFonts w:ascii="宋体" w:hAnsi="宋体"/>
                <w:color w:val="auto"/>
                <w:sz w:val="24"/>
              </w:rPr>
            </w:pPr>
          </w:p>
        </w:tc>
        <w:tc>
          <w:tcPr>
            <w:tcW w:w="851" w:type="dxa"/>
            <w:vAlign w:val="center"/>
          </w:tcPr>
          <w:p>
            <w:pPr>
              <w:adjustRightInd w:val="0"/>
              <w:snapToGrid w:val="0"/>
              <w:jc w:val="center"/>
              <w:rPr>
                <w:rFonts w:ascii="宋体" w:hAnsi="宋体"/>
                <w:color w:val="auto"/>
                <w:sz w:val="24"/>
              </w:rPr>
            </w:pPr>
          </w:p>
        </w:tc>
        <w:tc>
          <w:tcPr>
            <w:tcW w:w="2593"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6</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jc w:val="center"/>
              <w:rPr>
                <w:rFonts w:ascii="宋体" w:hAnsi="宋体"/>
                <w:color w:val="auto"/>
                <w:sz w:val="24"/>
              </w:rPr>
            </w:pPr>
          </w:p>
        </w:tc>
        <w:tc>
          <w:tcPr>
            <w:tcW w:w="851" w:type="dxa"/>
            <w:vAlign w:val="center"/>
          </w:tcPr>
          <w:p>
            <w:pPr>
              <w:adjustRightInd w:val="0"/>
              <w:snapToGrid w:val="0"/>
              <w:jc w:val="center"/>
              <w:rPr>
                <w:rFonts w:ascii="宋体" w:hAnsi="宋体"/>
                <w:color w:val="auto"/>
                <w:sz w:val="24"/>
              </w:rPr>
            </w:pPr>
          </w:p>
        </w:tc>
        <w:tc>
          <w:tcPr>
            <w:tcW w:w="2593"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color w:val="auto"/>
                <w:sz w:val="24"/>
              </w:rPr>
            </w:pPr>
            <w:r>
              <w:rPr>
                <w:rFonts w:hint="eastAsia" w:ascii="宋体" w:hAnsi="宋体"/>
                <w:color w:val="auto"/>
                <w:sz w:val="24"/>
              </w:rPr>
              <w:t>…</w:t>
            </w:r>
          </w:p>
        </w:tc>
        <w:tc>
          <w:tcPr>
            <w:tcW w:w="2722" w:type="dxa"/>
            <w:vAlign w:val="center"/>
          </w:tcPr>
          <w:p>
            <w:pPr>
              <w:adjustRightInd w:val="0"/>
              <w:snapToGrid w:val="0"/>
              <w:ind w:left="-88" w:leftChars="-42"/>
              <w:jc w:val="center"/>
              <w:rPr>
                <w:rFonts w:ascii="宋体" w:hAnsi="宋体"/>
                <w:color w:val="auto"/>
                <w:sz w:val="24"/>
              </w:rPr>
            </w:pPr>
          </w:p>
        </w:tc>
        <w:tc>
          <w:tcPr>
            <w:tcW w:w="2459" w:type="dxa"/>
            <w:vAlign w:val="center"/>
          </w:tcPr>
          <w:p>
            <w:pPr>
              <w:adjustRightInd w:val="0"/>
              <w:snapToGrid w:val="0"/>
              <w:jc w:val="center"/>
              <w:rPr>
                <w:rFonts w:ascii="宋体" w:hAnsi="宋体"/>
                <w:color w:val="auto"/>
                <w:sz w:val="24"/>
              </w:rPr>
            </w:pPr>
          </w:p>
        </w:tc>
        <w:tc>
          <w:tcPr>
            <w:tcW w:w="851" w:type="dxa"/>
            <w:vAlign w:val="center"/>
          </w:tcPr>
          <w:p>
            <w:pPr>
              <w:adjustRightInd w:val="0"/>
              <w:snapToGrid w:val="0"/>
              <w:jc w:val="center"/>
              <w:rPr>
                <w:rFonts w:ascii="宋体" w:hAnsi="宋体"/>
                <w:color w:val="auto"/>
                <w:sz w:val="24"/>
              </w:rPr>
            </w:pPr>
          </w:p>
        </w:tc>
        <w:tc>
          <w:tcPr>
            <w:tcW w:w="2593" w:type="dxa"/>
            <w:vAlign w:val="center"/>
          </w:tcPr>
          <w:p>
            <w:pPr>
              <w:adjustRightInd w:val="0"/>
              <w:snapToGrid w:val="0"/>
              <w:jc w:val="center"/>
              <w:rPr>
                <w:rFonts w:ascii="宋体" w:hAnsi="宋体"/>
                <w:color w:val="auto"/>
                <w:sz w:val="24"/>
              </w:rPr>
            </w:pPr>
          </w:p>
        </w:tc>
      </w:tr>
    </w:tbl>
    <w:p>
      <w:pPr>
        <w:spacing w:line="360" w:lineRule="auto"/>
        <w:ind w:left="1085" w:hanging="1081" w:hangingChars="449"/>
        <w:jc w:val="left"/>
        <w:rPr>
          <w:rFonts w:ascii="宋体" w:hAnsi="宋体"/>
          <w:color w:val="auto"/>
          <w:sz w:val="24"/>
        </w:rPr>
      </w:pPr>
      <w:r>
        <w:rPr>
          <w:rFonts w:hint="eastAsia" w:ascii="宋体" w:hAnsi="宋体"/>
          <w:color w:val="auto"/>
          <w:sz w:val="24"/>
        </w:rPr>
        <w:t>说明：1．此表为货物（工程或服务）清单，投标人应提供所投货物（工程或服务）详细的供货（工程或服务）范围，包括主要配件及生产厂家、备品备件等。</w:t>
      </w:r>
    </w:p>
    <w:p>
      <w:pPr>
        <w:spacing w:line="360" w:lineRule="auto"/>
        <w:ind w:left="1066" w:leftChars="339" w:hanging="351" w:hangingChars="146"/>
        <w:jc w:val="left"/>
        <w:rPr>
          <w:rFonts w:ascii="宋体" w:hAnsi="宋体"/>
          <w:color w:val="auto"/>
          <w:sz w:val="24"/>
        </w:rPr>
      </w:pPr>
      <w:r>
        <w:rPr>
          <w:rFonts w:hint="eastAsia" w:ascii="宋体" w:hAnsi="宋体"/>
          <w:color w:val="auto"/>
          <w:sz w:val="24"/>
        </w:rPr>
        <w:t>2．各项货物（工程或服务）详细技术规格、参数及要求性能，应另页描述。</w:t>
      </w: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adjustRightInd w:val="0"/>
        <w:snapToGrid w:val="0"/>
        <w:spacing w:line="360" w:lineRule="auto"/>
        <w:ind w:left="770" w:leftChars="194" w:hanging="361" w:hangingChars="150"/>
        <w:rPr>
          <w:rFonts w:ascii="宋体" w:hAnsi="宋体"/>
          <w:color w:val="auto"/>
          <w:sz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rPr>
          <w:color w:val="auto"/>
        </w:rPr>
      </w:pPr>
    </w:p>
    <w:p>
      <w:pPr>
        <w:pStyle w:val="4"/>
        <w:numPr>
          <w:ilvl w:val="0"/>
          <w:numId w:val="53"/>
        </w:numPr>
        <w:spacing w:before="100" w:beforeAutospacing="1" w:after="158" w:afterLines="50" w:line="360" w:lineRule="auto"/>
        <w:jc w:val="left"/>
        <w:rPr>
          <w:rFonts w:ascii="宋体" w:hAnsi="宋体"/>
          <w:color w:val="auto"/>
        </w:rPr>
      </w:pPr>
      <w:bookmarkStart w:id="178" w:name="_Toc494721110"/>
      <w:bookmarkStart w:id="179" w:name="_Toc238276247"/>
      <w:bookmarkStart w:id="180" w:name="_Toc494702280"/>
      <w:bookmarkStart w:id="181" w:name="_Toc494665010"/>
      <w:bookmarkStart w:id="182" w:name="_Toc236473303"/>
      <w:bookmarkStart w:id="183" w:name="_Toc494665960"/>
      <w:bookmarkStart w:id="184" w:name="_Toc494745327"/>
      <w:bookmarkStart w:id="185" w:name="_Toc494665563"/>
      <w:r>
        <w:rPr>
          <w:rFonts w:hint="eastAsia" w:ascii="宋体" w:hAnsi="宋体"/>
          <w:color w:val="auto"/>
        </w:rPr>
        <w:t xml:space="preserve">                </w:t>
      </w:r>
      <w:bookmarkStart w:id="186" w:name="_Toc2828"/>
      <w:r>
        <w:rPr>
          <w:rFonts w:hint="eastAsia" w:ascii="宋体" w:hAnsi="宋体"/>
          <w:color w:val="auto"/>
        </w:rPr>
        <w:t>法定代表人授权书</w:t>
      </w:r>
      <w:bookmarkEnd w:id="178"/>
      <w:bookmarkEnd w:id="179"/>
      <w:bookmarkEnd w:id="180"/>
      <w:bookmarkEnd w:id="181"/>
      <w:bookmarkEnd w:id="182"/>
      <w:bookmarkEnd w:id="183"/>
      <w:bookmarkEnd w:id="184"/>
      <w:bookmarkEnd w:id="185"/>
      <w:bookmarkEnd w:id="186"/>
    </w:p>
    <w:p>
      <w:pPr>
        <w:spacing w:line="480" w:lineRule="auto"/>
        <w:rPr>
          <w:rFonts w:ascii="宋体" w:hAnsi="宋体"/>
          <w:b/>
          <w:color w:val="auto"/>
          <w:sz w:val="24"/>
          <w:szCs w:val="24"/>
        </w:rPr>
      </w:pPr>
      <w:r>
        <w:rPr>
          <w:rFonts w:hint="eastAsia" w:ascii="宋体" w:hAnsi="宋体" w:cs="Courier New"/>
          <w:b/>
          <w:color w:val="auto"/>
          <w:sz w:val="28"/>
          <w:szCs w:val="28"/>
        </w:rPr>
        <w:t>潜江市政府采购中心：</w:t>
      </w:r>
    </w:p>
    <w:p>
      <w:pPr>
        <w:spacing w:line="360" w:lineRule="auto"/>
        <w:ind w:firstLine="482" w:firstLineChars="200"/>
        <w:rPr>
          <w:rFonts w:ascii="宋体" w:hAnsi="宋体"/>
          <w:color w:val="auto"/>
          <w:sz w:val="24"/>
          <w:szCs w:val="24"/>
        </w:rPr>
      </w:pPr>
      <w:r>
        <w:rPr>
          <w:rFonts w:hint="eastAsia" w:ascii="宋体" w:hAnsi="宋体"/>
          <w:color w:val="auto"/>
          <w:sz w:val="24"/>
          <w:szCs w:val="24"/>
        </w:rPr>
        <w:t>兹授权同志为我单位参加贵方组织的</w:t>
      </w:r>
      <w:r>
        <w:rPr>
          <w:rFonts w:hint="eastAsia" w:hAnsi="宋体"/>
          <w:color w:val="auto"/>
          <w:sz w:val="24"/>
          <w:szCs w:val="24"/>
        </w:rPr>
        <w:t>项目（项目编号：______）</w:t>
      </w:r>
      <w:r>
        <w:rPr>
          <w:rFonts w:hint="eastAsia" w:ascii="宋体" w:hAnsi="宋体"/>
          <w:color w:val="auto"/>
          <w:sz w:val="24"/>
          <w:szCs w:val="24"/>
        </w:rPr>
        <w:t xml:space="preserve">采购活动的投标人授权代表，全权代表我公司处理在项目采购活动中的一切事宜。代理期限从年月日起至年月日止。 </w:t>
      </w:r>
    </w:p>
    <w:p>
      <w:pPr>
        <w:spacing w:line="360" w:lineRule="auto"/>
        <w:ind w:firstLine="542" w:firstLineChars="225"/>
        <w:rPr>
          <w:rFonts w:ascii="宋体" w:hAnsi="宋体"/>
          <w:color w:val="auto"/>
          <w:sz w:val="24"/>
          <w:szCs w:val="24"/>
        </w:rPr>
      </w:pPr>
      <w:r>
        <w:rPr>
          <w:rFonts w:hint="eastAsia" w:ascii="宋体" w:hAnsi="宋体"/>
          <w:color w:val="auto"/>
          <w:sz w:val="24"/>
          <w:szCs w:val="24"/>
        </w:rPr>
        <w:t>被授权代表无转委托权。</w:t>
      </w:r>
    </w:p>
    <w:p>
      <w:pPr>
        <w:spacing w:line="360" w:lineRule="auto"/>
        <w:ind w:firstLine="542" w:firstLineChars="225"/>
        <w:rPr>
          <w:rFonts w:ascii="宋体" w:hAnsi="宋体"/>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授权单位（公章）：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法定代表人（签字或盖章）</w:t>
      </w:r>
      <w:r>
        <w:rPr>
          <w:rFonts w:hint="eastAsia" w:hAnsi="宋体"/>
          <w:b/>
          <w:bCs/>
          <w:color w:val="auto"/>
          <w:sz w:val="24"/>
        </w:rPr>
        <w:t>：</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color w:val="auto"/>
          <w:sz w:val="24"/>
          <w:szCs w:val="21"/>
        </w:rPr>
        <w:t>签发日期：年月日</w:t>
      </w:r>
    </w:p>
    <w:p>
      <w:pPr>
        <w:spacing w:line="360" w:lineRule="auto"/>
        <w:rPr>
          <w:rFonts w:ascii="宋体" w:hAnsi="宋体"/>
          <w:color w:val="auto"/>
          <w:sz w:val="24"/>
          <w:szCs w:val="24"/>
        </w:rPr>
      </w:pPr>
      <w:r>
        <w:rPr>
          <w:rFonts w:hint="eastAsia" w:ascii="宋体" w:hAnsi="宋体"/>
          <w:color w:val="auto"/>
          <w:sz w:val="24"/>
          <w:szCs w:val="24"/>
        </w:rPr>
        <w:t>附：</w:t>
      </w:r>
    </w:p>
    <w:p>
      <w:pPr>
        <w:spacing w:line="360" w:lineRule="auto"/>
        <w:ind w:firstLine="482" w:firstLineChars="200"/>
        <w:rPr>
          <w:rFonts w:ascii="宋体" w:hAnsi="宋体"/>
          <w:color w:val="auto"/>
          <w:sz w:val="24"/>
          <w:szCs w:val="24"/>
        </w:rPr>
      </w:pPr>
      <w:r>
        <w:rPr>
          <w:rFonts w:hint="eastAsia" w:ascii="宋体" w:hAnsi="宋体"/>
          <w:color w:val="auto"/>
          <w:sz w:val="24"/>
          <w:szCs w:val="24"/>
        </w:rPr>
        <w:t>投标人授权代表单位名称：</w:t>
      </w:r>
    </w:p>
    <w:p>
      <w:pPr>
        <w:spacing w:line="360" w:lineRule="auto"/>
        <w:ind w:firstLine="482" w:firstLineChars="200"/>
        <w:rPr>
          <w:rFonts w:ascii="宋体" w:hAnsi="宋体"/>
          <w:color w:val="auto"/>
          <w:sz w:val="24"/>
          <w:szCs w:val="24"/>
        </w:rPr>
      </w:pPr>
      <w:r>
        <w:rPr>
          <w:rFonts w:hint="eastAsia" w:ascii="宋体" w:hAnsi="宋体"/>
          <w:color w:val="auto"/>
          <w:sz w:val="24"/>
          <w:szCs w:val="24"/>
        </w:rPr>
        <w:t>职务： 性别：</w:t>
      </w:r>
    </w:p>
    <w:p>
      <w:pPr>
        <w:spacing w:line="360" w:lineRule="auto"/>
        <w:ind w:firstLine="482" w:firstLineChars="200"/>
        <w:rPr>
          <w:rFonts w:ascii="宋体" w:hAnsi="宋体"/>
          <w:color w:val="auto"/>
          <w:sz w:val="24"/>
          <w:szCs w:val="24"/>
          <w:u w:val="single"/>
        </w:rPr>
      </w:pPr>
      <w:r>
        <w:rPr>
          <w:rFonts w:hint="eastAsia" w:ascii="宋体" w:hAnsi="宋体"/>
          <w:color w:val="auto"/>
          <w:sz w:val="24"/>
          <w:szCs w:val="24"/>
        </w:rPr>
        <w:t>身份证号码：</w:t>
      </w:r>
    </w:p>
    <w:p>
      <w:pPr>
        <w:spacing w:line="360" w:lineRule="auto"/>
        <w:ind w:firstLine="482" w:firstLineChars="200"/>
        <w:rPr>
          <w:rFonts w:ascii="宋体" w:hAnsi="宋体"/>
          <w:color w:val="auto"/>
          <w:sz w:val="24"/>
          <w:szCs w:val="24"/>
        </w:rPr>
      </w:pPr>
      <w:r>
        <w:rPr>
          <w:rFonts w:hint="eastAsia" w:ascii="宋体" w:hAnsi="宋体"/>
          <w:color w:val="auto"/>
          <w:sz w:val="24"/>
          <w:szCs w:val="24"/>
        </w:rPr>
        <w:t>电话：</w:t>
      </w:r>
    </w:p>
    <w:tbl>
      <w:tblPr>
        <w:tblStyle w:val="31"/>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9532" w:type="dxa"/>
          </w:tcPr>
          <w:p>
            <w:pPr>
              <w:spacing w:line="300" w:lineRule="auto"/>
              <w:rPr>
                <w:rFonts w:ascii="宋体" w:hAnsi="宋体"/>
                <w:color w:val="auto"/>
                <w:sz w:val="24"/>
                <w:szCs w:val="24"/>
              </w:rPr>
            </w:pPr>
            <w:r>
              <w:rPr>
                <w:rFonts w:hint="eastAsia" w:ascii="宋体" w:hAnsi="宋体"/>
                <w:color w:val="auto"/>
                <w:sz w:val="24"/>
                <w:szCs w:val="24"/>
              </w:rPr>
              <w:t>粘贴被授权人身份证（清晰影印件）</w:t>
            </w:r>
          </w:p>
        </w:tc>
      </w:tr>
    </w:tbl>
    <w:p>
      <w:pPr>
        <w:rPr>
          <w:color w:val="auto"/>
        </w:rPr>
      </w:pPr>
    </w:p>
    <w:p>
      <w:pPr>
        <w:rPr>
          <w:color w:val="auto"/>
        </w:rPr>
      </w:pPr>
    </w:p>
    <w:p>
      <w:pPr>
        <w:pStyle w:val="4"/>
        <w:numPr>
          <w:ilvl w:val="0"/>
          <w:numId w:val="53"/>
        </w:numPr>
        <w:spacing w:before="100" w:beforeAutospacing="1" w:after="158" w:afterLines="50" w:line="360" w:lineRule="auto"/>
        <w:jc w:val="left"/>
        <w:rPr>
          <w:rFonts w:ascii="宋体" w:hAnsi="宋体"/>
          <w:color w:val="auto"/>
        </w:rPr>
      </w:pPr>
      <w:bookmarkStart w:id="187" w:name="_Toc494745328"/>
      <w:bookmarkStart w:id="188" w:name="_Toc494665011"/>
      <w:bookmarkStart w:id="189" w:name="_Toc494665961"/>
      <w:bookmarkStart w:id="190" w:name="_Toc494702281"/>
      <w:bookmarkStart w:id="191" w:name="_Toc236473304"/>
      <w:bookmarkStart w:id="192" w:name="_Toc238276248"/>
      <w:bookmarkStart w:id="193" w:name="_Toc494665564"/>
      <w:bookmarkStart w:id="194" w:name="_Toc494721111"/>
      <w:r>
        <w:rPr>
          <w:rFonts w:hint="eastAsia" w:ascii="宋体" w:hAnsi="宋体"/>
          <w:color w:val="auto"/>
        </w:rPr>
        <w:t xml:space="preserve">          </w:t>
      </w:r>
      <w:bookmarkStart w:id="195" w:name="_Toc16846"/>
      <w:r>
        <w:rPr>
          <w:rFonts w:hint="eastAsia" w:ascii="宋体" w:hAnsi="宋体"/>
          <w:color w:val="auto"/>
        </w:rPr>
        <w:t>投标人的资格声明</w:t>
      </w:r>
      <w:bookmarkEnd w:id="187"/>
      <w:bookmarkEnd w:id="188"/>
      <w:bookmarkEnd w:id="189"/>
      <w:bookmarkEnd w:id="190"/>
      <w:bookmarkEnd w:id="191"/>
      <w:bookmarkEnd w:id="192"/>
      <w:bookmarkEnd w:id="193"/>
      <w:bookmarkEnd w:id="194"/>
      <w:bookmarkEnd w:id="195"/>
    </w:p>
    <w:p>
      <w:pPr>
        <w:spacing w:line="360" w:lineRule="auto"/>
        <w:ind w:left="1085" w:hanging="1081" w:hangingChars="449"/>
        <w:jc w:val="left"/>
        <w:rPr>
          <w:rFonts w:ascii="宋体" w:hAnsi="宋体"/>
          <w:color w:val="auto"/>
          <w:sz w:val="24"/>
          <w:szCs w:val="24"/>
        </w:rPr>
      </w:pPr>
      <w:r>
        <w:rPr>
          <w:rFonts w:hint="eastAsia" w:ascii="宋体" w:hAnsi="宋体"/>
          <w:color w:val="auto"/>
          <w:sz w:val="24"/>
          <w:szCs w:val="24"/>
        </w:rPr>
        <w:t>1．名称及基本情况：</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（1）投标人：</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（2）地址：     邮编：</w:t>
      </w:r>
    </w:p>
    <w:p>
      <w:pPr>
        <w:spacing w:line="360" w:lineRule="exact"/>
        <w:ind w:firstLine="843" w:firstLineChars="350"/>
        <w:rPr>
          <w:rFonts w:ascii="宋体" w:hAnsi="宋体"/>
          <w:color w:val="auto"/>
          <w:sz w:val="24"/>
          <w:szCs w:val="24"/>
          <w:u w:val="single"/>
        </w:rPr>
      </w:pPr>
      <w:r>
        <w:rPr>
          <w:rFonts w:hint="eastAsia" w:ascii="宋体" w:hAnsi="宋体"/>
          <w:color w:val="auto"/>
          <w:sz w:val="24"/>
          <w:szCs w:val="24"/>
        </w:rPr>
        <w:t>电话：     传真：</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（3）成立或注册日期：</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（4）单位性质：</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（5）法定代表人或主要负责人：</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（6）员工人数：</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（7）注册资本：</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（8）实收资本：</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（9）上年末资产负债表：</w:t>
      </w:r>
    </w:p>
    <w:p>
      <w:pPr>
        <w:spacing w:line="360" w:lineRule="exact"/>
        <w:ind w:firstLine="730" w:firstLineChars="303"/>
        <w:rPr>
          <w:rFonts w:ascii="宋体" w:hAnsi="宋体"/>
          <w:color w:val="auto"/>
          <w:sz w:val="24"/>
          <w:szCs w:val="24"/>
        </w:rPr>
      </w:pPr>
      <w:r>
        <w:rPr>
          <w:rFonts w:hint="eastAsia" w:ascii="宋体" w:hAnsi="宋体"/>
          <w:color w:val="auto"/>
          <w:sz w:val="24"/>
          <w:szCs w:val="24"/>
        </w:rPr>
        <w:t>1）固定资产</w:t>
      </w:r>
    </w:p>
    <w:p>
      <w:pPr>
        <w:spacing w:line="360" w:lineRule="exact"/>
        <w:ind w:firstLine="730" w:firstLineChars="303"/>
        <w:rPr>
          <w:rFonts w:ascii="宋体" w:hAnsi="宋体"/>
          <w:color w:val="auto"/>
          <w:sz w:val="24"/>
          <w:szCs w:val="24"/>
        </w:rPr>
      </w:pPr>
      <w:r>
        <w:rPr>
          <w:rFonts w:hint="eastAsia" w:ascii="宋体" w:hAnsi="宋体"/>
          <w:color w:val="auto"/>
          <w:sz w:val="24"/>
          <w:szCs w:val="24"/>
        </w:rPr>
        <w:t xml:space="preserve">原   值：    净   值： </w:t>
      </w:r>
    </w:p>
    <w:p>
      <w:pPr>
        <w:spacing w:line="360" w:lineRule="exact"/>
        <w:ind w:firstLine="730" w:firstLineChars="303"/>
        <w:rPr>
          <w:rFonts w:ascii="宋体" w:hAnsi="宋体"/>
          <w:color w:val="auto"/>
          <w:sz w:val="24"/>
          <w:szCs w:val="24"/>
        </w:rPr>
      </w:pPr>
      <w:r>
        <w:rPr>
          <w:rFonts w:hint="eastAsia" w:ascii="宋体" w:hAnsi="宋体"/>
          <w:color w:val="auto"/>
          <w:sz w:val="24"/>
          <w:szCs w:val="24"/>
        </w:rPr>
        <w:t>2）流动资金：</w:t>
      </w:r>
    </w:p>
    <w:p>
      <w:pPr>
        <w:spacing w:line="360" w:lineRule="exact"/>
        <w:ind w:firstLine="730" w:firstLineChars="303"/>
        <w:rPr>
          <w:rFonts w:ascii="宋体" w:hAnsi="宋体"/>
          <w:color w:val="auto"/>
          <w:sz w:val="24"/>
          <w:szCs w:val="24"/>
        </w:rPr>
      </w:pPr>
      <w:r>
        <w:rPr>
          <w:rFonts w:hint="eastAsia" w:ascii="宋体" w:hAnsi="宋体"/>
          <w:color w:val="auto"/>
          <w:sz w:val="24"/>
          <w:szCs w:val="24"/>
        </w:rPr>
        <w:t>3）长期负债：</w:t>
      </w:r>
    </w:p>
    <w:p>
      <w:pPr>
        <w:spacing w:line="360" w:lineRule="exact"/>
        <w:ind w:firstLine="730" w:firstLineChars="303"/>
        <w:rPr>
          <w:rFonts w:ascii="宋体" w:hAnsi="宋体"/>
          <w:color w:val="auto"/>
          <w:sz w:val="24"/>
          <w:szCs w:val="24"/>
        </w:rPr>
      </w:pPr>
      <w:r>
        <w:rPr>
          <w:rFonts w:hint="eastAsia" w:ascii="宋体" w:hAnsi="宋体"/>
          <w:color w:val="auto"/>
          <w:sz w:val="24"/>
          <w:szCs w:val="24"/>
        </w:rPr>
        <w:t>4）短期负债：</w:t>
      </w:r>
    </w:p>
    <w:p>
      <w:pPr>
        <w:spacing w:line="360" w:lineRule="exact"/>
        <w:rPr>
          <w:rFonts w:ascii="宋体" w:hAnsi="宋体"/>
          <w:color w:val="auto"/>
          <w:sz w:val="24"/>
          <w:szCs w:val="24"/>
        </w:rPr>
      </w:pPr>
      <w:r>
        <w:rPr>
          <w:rFonts w:hint="eastAsia" w:ascii="宋体" w:hAnsi="宋体"/>
          <w:color w:val="auto"/>
          <w:sz w:val="24"/>
          <w:szCs w:val="24"/>
        </w:rPr>
        <w:t xml:space="preserve">2．与投标货物的生产、销售和服务有关的情况： </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（1）关于制造投标货物的设施及其它情况：</w:t>
      </w:r>
    </w:p>
    <w:tbl>
      <w:tblPr>
        <w:tblStyle w:val="31"/>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383"/>
        <w:gridCol w:w="238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生产基地地址</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生产的项目</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年生产能力</w:t>
            </w:r>
          </w:p>
        </w:tc>
        <w:tc>
          <w:tcPr>
            <w:tcW w:w="2384"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r>
    </w:tbl>
    <w:p>
      <w:pPr>
        <w:spacing w:line="360" w:lineRule="exact"/>
        <w:ind w:firstLine="241" w:firstLineChars="100"/>
        <w:rPr>
          <w:rFonts w:ascii="宋体" w:hAnsi="宋体"/>
          <w:color w:val="auto"/>
          <w:sz w:val="24"/>
          <w:szCs w:val="24"/>
        </w:rPr>
      </w:pPr>
      <w:r>
        <w:rPr>
          <w:rFonts w:hint="eastAsia" w:ascii="宋体" w:hAnsi="宋体"/>
          <w:color w:val="auto"/>
          <w:sz w:val="24"/>
          <w:szCs w:val="24"/>
        </w:rPr>
        <w:t>（2）投标人生产此投标货物的经验（包括年限、项目业主、额定能力、商业运营的起始日期等）：</w:t>
      </w:r>
    </w:p>
    <w:p>
      <w:pPr>
        <w:spacing w:line="360" w:lineRule="exact"/>
        <w:ind w:firstLine="241" w:firstLineChars="100"/>
        <w:rPr>
          <w:rFonts w:ascii="宋体" w:hAnsi="宋体"/>
          <w:color w:val="auto"/>
          <w:sz w:val="24"/>
          <w:szCs w:val="24"/>
        </w:rPr>
      </w:pPr>
      <w:r>
        <w:rPr>
          <w:rFonts w:hint="eastAsia" w:ascii="宋体" w:hAnsi="宋体"/>
          <w:color w:val="auto"/>
          <w:sz w:val="24"/>
          <w:szCs w:val="24"/>
        </w:rPr>
        <w:t>（3）销售、服务网点分布（可另行附表）：</w:t>
      </w:r>
    </w:p>
    <w:tbl>
      <w:tblPr>
        <w:tblStyle w:val="31"/>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7"/>
        <w:gridCol w:w="2155"/>
        <w:gridCol w:w="176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7"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销售服务网点名称和地址</w:t>
            </w:r>
          </w:p>
        </w:tc>
        <w:tc>
          <w:tcPr>
            <w:tcW w:w="2155"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color w:val="auto"/>
                <w:sz w:val="24"/>
                <w:szCs w:val="24"/>
              </w:rPr>
            </w:pPr>
            <w:r>
              <w:rPr>
                <w:rFonts w:hint="eastAsia" w:ascii="宋体" w:hAnsi="宋体"/>
                <w:color w:val="auto"/>
                <w:sz w:val="24"/>
                <w:szCs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olor w:val="auto"/>
                <w:sz w:val="24"/>
                <w:szCs w:val="24"/>
              </w:rPr>
            </w:pPr>
          </w:p>
        </w:tc>
      </w:tr>
    </w:tbl>
    <w:p>
      <w:pPr>
        <w:spacing w:line="360" w:lineRule="exact"/>
        <w:rPr>
          <w:rFonts w:ascii="宋体" w:hAnsi="宋体"/>
          <w:color w:val="auto"/>
          <w:sz w:val="24"/>
          <w:szCs w:val="24"/>
        </w:rPr>
      </w:pPr>
      <w:r>
        <w:rPr>
          <w:rFonts w:hint="eastAsia" w:ascii="宋体" w:hAnsi="宋体"/>
          <w:color w:val="auto"/>
          <w:sz w:val="24"/>
          <w:szCs w:val="24"/>
        </w:rPr>
        <w:t xml:space="preserve">3．投标人认为需要声明的其它情况：                         </w:t>
      </w:r>
    </w:p>
    <w:p>
      <w:pPr>
        <w:spacing w:line="360" w:lineRule="exact"/>
        <w:ind w:firstLine="476" w:firstLineChars="198"/>
        <w:rPr>
          <w:rFonts w:ascii="宋体" w:hAnsi="宋体"/>
          <w:color w:val="auto"/>
          <w:sz w:val="24"/>
          <w:szCs w:val="24"/>
        </w:rPr>
      </w:pPr>
      <w:r>
        <w:rPr>
          <w:rFonts w:hint="eastAsia" w:ascii="宋体" w:hAnsi="宋体"/>
          <w:color w:val="auto"/>
          <w:sz w:val="24"/>
          <w:szCs w:val="24"/>
        </w:rPr>
        <w:t xml:space="preserve">兹证明上述声明是真实的、正确，并提供了全部能提供的资料和数据，同意按照集中采购机构要求出示有关证明文件。                      </w:t>
      </w:r>
    </w:p>
    <w:p>
      <w:pPr>
        <w:spacing w:line="360" w:lineRule="auto"/>
        <w:ind w:left="506" w:leftChars="240"/>
        <w:rPr>
          <w:rFonts w:ascii="宋体" w:hAnsi="宋体"/>
          <w:b/>
          <w:color w:val="auto"/>
          <w:sz w:val="24"/>
          <w:szCs w:val="24"/>
        </w:rPr>
      </w:pPr>
      <w:r>
        <w:rPr>
          <w:rFonts w:hint="eastAsia" w:ascii="宋体" w:hAnsi="宋体"/>
          <w:b/>
          <w:color w:val="auto"/>
          <w:sz w:val="24"/>
          <w:szCs w:val="24"/>
        </w:rPr>
        <w:t>投标人</w:t>
      </w:r>
      <w:r>
        <w:rPr>
          <w:rFonts w:hint="eastAsia" w:hAnsi="宋体"/>
          <w:b/>
          <w:color w:val="auto"/>
          <w:sz w:val="24"/>
          <w:szCs w:val="24"/>
        </w:rPr>
        <w:t>（公章）</w:t>
      </w:r>
      <w:r>
        <w:rPr>
          <w:rFonts w:hint="eastAsia" w:ascii="宋体" w:hAnsi="宋体"/>
          <w:b/>
          <w:color w:val="auto"/>
          <w:sz w:val="24"/>
          <w:szCs w:val="24"/>
        </w:rPr>
        <w:t>：</w:t>
      </w:r>
    </w:p>
    <w:p>
      <w:pPr>
        <w:spacing w:line="360" w:lineRule="auto"/>
        <w:ind w:left="506" w:leftChars="240"/>
        <w:rPr>
          <w:rFonts w:ascii="宋体" w:hAnsi="宋体"/>
          <w:b/>
          <w:color w:val="auto"/>
          <w:sz w:val="24"/>
          <w:szCs w:val="24"/>
        </w:rPr>
      </w:pPr>
      <w:r>
        <w:rPr>
          <w:rFonts w:hint="eastAsia" w:hAnsi="宋体"/>
          <w:b/>
          <w:color w:val="auto"/>
          <w:sz w:val="24"/>
          <w:szCs w:val="24"/>
        </w:rPr>
        <w:t>法定代表人（签字或盖章）</w:t>
      </w:r>
      <w:r>
        <w:rPr>
          <w:rFonts w:hint="eastAsia" w:ascii="宋体" w:hAnsi="宋体"/>
          <w:b/>
          <w:color w:val="auto"/>
          <w:sz w:val="24"/>
          <w:szCs w:val="24"/>
        </w:rPr>
        <w:t>：</w:t>
      </w:r>
    </w:p>
    <w:p>
      <w:pPr>
        <w:spacing w:line="360" w:lineRule="auto"/>
        <w:ind w:left="506" w:leftChars="240"/>
        <w:rPr>
          <w:rFonts w:ascii="宋体" w:hAnsi="宋体"/>
          <w:b/>
          <w:color w:val="auto"/>
          <w:sz w:val="24"/>
          <w:szCs w:val="24"/>
        </w:rPr>
      </w:pPr>
      <w:r>
        <w:rPr>
          <w:rFonts w:hint="eastAsia" w:ascii="宋体" w:hAnsi="宋体"/>
          <w:b/>
          <w:color w:val="auto"/>
          <w:sz w:val="24"/>
          <w:szCs w:val="24"/>
        </w:rPr>
        <w:t>电    话：</w:t>
      </w:r>
    </w:p>
    <w:p>
      <w:pPr>
        <w:spacing w:line="360" w:lineRule="auto"/>
        <w:ind w:left="506" w:leftChars="240"/>
        <w:rPr>
          <w:rFonts w:ascii="宋体" w:hAnsi="宋体"/>
          <w:b/>
          <w:color w:val="auto"/>
          <w:sz w:val="24"/>
          <w:szCs w:val="24"/>
          <w:u w:val="single"/>
        </w:rPr>
      </w:pPr>
      <w:r>
        <w:rPr>
          <w:rFonts w:hint="eastAsia" w:ascii="宋体" w:hAnsi="宋体"/>
          <w:b/>
          <w:color w:val="auto"/>
          <w:sz w:val="24"/>
          <w:szCs w:val="24"/>
        </w:rPr>
        <w:t>传    真：</w:t>
      </w:r>
    </w:p>
    <w:p>
      <w:pPr>
        <w:spacing w:line="360" w:lineRule="auto"/>
        <w:ind w:left="506" w:leftChars="240" w:firstLine="3856" w:firstLineChars="1600"/>
        <w:rPr>
          <w:rFonts w:ascii="宋体" w:hAnsi="宋体"/>
          <w:b/>
          <w:color w:val="auto"/>
          <w:sz w:val="24"/>
          <w:szCs w:val="24"/>
        </w:rPr>
      </w:pPr>
      <w:r>
        <w:rPr>
          <w:rFonts w:hint="eastAsia" w:ascii="宋体" w:hAnsi="宋体"/>
          <w:b/>
          <w:color w:val="auto"/>
          <w:sz w:val="24"/>
          <w:szCs w:val="24"/>
        </w:rPr>
        <w:t>日    期：年月 日</w:t>
      </w:r>
    </w:p>
    <w:p>
      <w:pPr>
        <w:pStyle w:val="4"/>
        <w:numPr>
          <w:ilvl w:val="0"/>
          <w:numId w:val="53"/>
        </w:numPr>
        <w:spacing w:before="100" w:beforeAutospacing="1" w:after="158" w:afterLines="50" w:line="360" w:lineRule="auto"/>
        <w:jc w:val="left"/>
        <w:rPr>
          <w:rFonts w:ascii="宋体" w:hAnsi="宋体"/>
          <w:color w:val="auto"/>
        </w:rPr>
      </w:pPr>
      <w:bookmarkStart w:id="196" w:name="_Toc494702282"/>
      <w:bookmarkStart w:id="197" w:name="_Toc494745329"/>
      <w:bookmarkStart w:id="198" w:name="_Toc494665962"/>
      <w:bookmarkStart w:id="199" w:name="_Toc494721112"/>
      <w:bookmarkStart w:id="200" w:name="_Toc494665012"/>
      <w:bookmarkStart w:id="201" w:name="_Toc494665565"/>
      <w:r>
        <w:rPr>
          <w:rFonts w:hint="eastAsia" w:ascii="宋体" w:hAnsi="宋体"/>
          <w:color w:val="auto"/>
        </w:rPr>
        <w:t xml:space="preserve">   </w:t>
      </w:r>
      <w:bookmarkStart w:id="202" w:name="_Toc30125"/>
      <w:r>
        <w:rPr>
          <w:rFonts w:hint="eastAsia" w:ascii="宋体" w:hAnsi="宋体"/>
          <w:color w:val="auto"/>
        </w:rPr>
        <w:t>项目负责人、技术负责人简历表</w:t>
      </w:r>
      <w:bookmarkEnd w:id="196"/>
      <w:bookmarkEnd w:id="197"/>
      <w:bookmarkEnd w:id="198"/>
      <w:bookmarkEnd w:id="199"/>
      <w:bookmarkEnd w:id="200"/>
      <w:bookmarkEnd w:id="201"/>
      <w:bookmarkEnd w:id="202"/>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姓    名</w:t>
            </w:r>
          </w:p>
        </w:tc>
        <w:tc>
          <w:tcPr>
            <w:tcW w:w="1530" w:type="dxa"/>
            <w:gridSpan w:val="2"/>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color w:val="auto"/>
                <w:kern w:val="0"/>
                <w:sz w:val="24"/>
                <w:szCs w:val="28"/>
              </w:rPr>
            </w:pPr>
            <w:r>
              <w:rPr>
                <w:rFonts w:hint="eastAsia" w:ascii="宋体" w:hAnsi="宋体"/>
                <w:color w:val="auto"/>
                <w:kern w:val="0"/>
                <w:sz w:val="24"/>
                <w:szCs w:val="28"/>
              </w:rPr>
              <w:t>性    别</w:t>
            </w:r>
          </w:p>
        </w:tc>
        <w:tc>
          <w:tcPr>
            <w:tcW w:w="1530" w:type="dxa"/>
            <w:gridSpan w:val="2"/>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olor w:val="auto"/>
                <w:kern w:val="0"/>
                <w:sz w:val="24"/>
                <w:szCs w:val="28"/>
              </w:rPr>
            </w:pPr>
            <w:r>
              <w:rPr>
                <w:rFonts w:hint="eastAsia" w:ascii="宋体" w:hAnsi="宋体"/>
                <w:color w:val="auto"/>
                <w:kern w:val="0"/>
                <w:sz w:val="24"/>
                <w:szCs w:val="28"/>
              </w:rPr>
              <w:t>年    龄</w:t>
            </w:r>
          </w:p>
        </w:tc>
        <w:tc>
          <w:tcPr>
            <w:tcW w:w="1530" w:type="dxa"/>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职    务</w:t>
            </w:r>
          </w:p>
        </w:tc>
        <w:tc>
          <w:tcPr>
            <w:tcW w:w="1530" w:type="dxa"/>
            <w:gridSpan w:val="2"/>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color w:val="auto"/>
                <w:kern w:val="0"/>
                <w:sz w:val="24"/>
                <w:szCs w:val="28"/>
              </w:rPr>
            </w:pPr>
            <w:r>
              <w:rPr>
                <w:rFonts w:hint="eastAsia" w:ascii="宋体" w:hAnsi="宋体"/>
                <w:color w:val="auto"/>
                <w:kern w:val="0"/>
                <w:sz w:val="24"/>
                <w:szCs w:val="28"/>
              </w:rPr>
              <w:t>职    称</w:t>
            </w:r>
          </w:p>
        </w:tc>
        <w:tc>
          <w:tcPr>
            <w:tcW w:w="1530" w:type="dxa"/>
            <w:gridSpan w:val="2"/>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olor w:val="auto"/>
                <w:kern w:val="0"/>
                <w:sz w:val="24"/>
                <w:szCs w:val="28"/>
              </w:rPr>
            </w:pPr>
            <w:r>
              <w:rPr>
                <w:rFonts w:hint="eastAsia" w:ascii="宋体" w:hAnsi="宋体"/>
                <w:color w:val="auto"/>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参加工作</w:t>
            </w:r>
          </w:p>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color w:val="auto"/>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olor w:val="auto"/>
                <w:kern w:val="0"/>
                <w:sz w:val="24"/>
                <w:szCs w:val="28"/>
              </w:rPr>
            </w:pPr>
            <w:r>
              <w:rPr>
                <w:rFonts w:hint="eastAsia" w:ascii="宋体" w:hAnsi="宋体"/>
                <w:color w:val="auto"/>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olor w:val="auto"/>
                <w:kern w:val="0"/>
                <w:sz w:val="24"/>
                <w:szCs w:val="28"/>
              </w:rPr>
            </w:pPr>
            <w:r>
              <w:rPr>
                <w:rFonts w:hint="eastAsia" w:ascii="宋体" w:hAnsi="宋体"/>
                <w:color w:val="auto"/>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olor w:val="auto"/>
                <w:kern w:val="0"/>
                <w:sz w:val="24"/>
                <w:szCs w:val="28"/>
              </w:rPr>
            </w:pPr>
            <w:r>
              <w:rPr>
                <w:rFonts w:hint="eastAsia" w:ascii="宋体" w:hAnsi="宋体"/>
                <w:color w:val="auto"/>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r>
              <w:rPr>
                <w:rFonts w:hint="eastAsia" w:ascii="宋体" w:hAnsi="宋体"/>
                <w:color w:val="auto"/>
                <w:kern w:val="0"/>
                <w:sz w:val="24"/>
                <w:szCs w:val="28"/>
              </w:rPr>
              <w:t>项目单位</w:t>
            </w: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r>
              <w:rPr>
                <w:rFonts w:hint="eastAsia" w:ascii="宋体" w:hAnsi="宋体"/>
                <w:color w:val="auto"/>
                <w:kern w:val="0"/>
                <w:sz w:val="24"/>
                <w:szCs w:val="28"/>
              </w:rPr>
              <w:t>项目名称</w:t>
            </w: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r>
              <w:rPr>
                <w:rFonts w:hint="eastAsia" w:ascii="宋体" w:hAnsi="宋体"/>
                <w:color w:val="auto"/>
                <w:kern w:val="0"/>
                <w:sz w:val="24"/>
                <w:szCs w:val="28"/>
              </w:rPr>
              <w:t>项目内容</w:t>
            </w: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r>
              <w:rPr>
                <w:rFonts w:hint="eastAsia" w:ascii="宋体" w:hAnsi="宋体"/>
                <w:color w:val="auto"/>
                <w:kern w:val="0"/>
                <w:sz w:val="24"/>
                <w:szCs w:val="28"/>
              </w:rPr>
              <w:t>项目金额</w:t>
            </w: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r>
              <w:rPr>
                <w:rFonts w:hint="eastAsia" w:ascii="宋体" w:hAnsi="宋体"/>
                <w:color w:val="auto"/>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olor w:val="auto"/>
                <w:kern w:val="0"/>
                <w:sz w:val="24"/>
                <w:szCs w:val="28"/>
              </w:rPr>
            </w:pPr>
          </w:p>
        </w:tc>
      </w:tr>
    </w:tbl>
    <w:p>
      <w:pPr>
        <w:spacing w:line="360" w:lineRule="auto"/>
        <w:ind w:left="725" w:hanging="723" w:hangingChars="300"/>
        <w:jc w:val="left"/>
        <w:rPr>
          <w:rFonts w:ascii="宋体" w:hAnsi="宋体"/>
          <w:color w:val="auto"/>
          <w:sz w:val="24"/>
          <w:szCs w:val="24"/>
        </w:rPr>
      </w:pPr>
      <w:r>
        <w:rPr>
          <w:rFonts w:hint="eastAsia" w:ascii="宋体" w:hAnsi="宋体"/>
          <w:color w:val="auto"/>
          <w:sz w:val="24"/>
          <w:szCs w:val="24"/>
        </w:rPr>
        <w:t>说明：投标文件正本应附完整的相关证明材料清晰影印件，</w:t>
      </w:r>
      <w:r>
        <w:rPr>
          <w:rFonts w:hint="eastAsia" w:ascii="宋体" w:hAnsi="宋体" w:cs="Corbel"/>
          <w:color w:val="auto"/>
          <w:sz w:val="24"/>
          <w:szCs w:val="21"/>
        </w:rPr>
        <w:t>未按照要求详细完整填写此表，</w:t>
      </w:r>
      <w:r>
        <w:rPr>
          <w:rFonts w:hint="eastAsia" w:ascii="宋体" w:hAnsi="宋体"/>
          <w:color w:val="auto"/>
          <w:sz w:val="24"/>
          <w:szCs w:val="21"/>
        </w:rPr>
        <w:t>导致的后果由投标人自行承担。</w:t>
      </w:r>
    </w:p>
    <w:p>
      <w:pPr>
        <w:spacing w:line="360" w:lineRule="auto"/>
        <w:jc w:val="left"/>
        <w:rPr>
          <w:rFonts w:ascii="宋体" w:hAnsi="宋体"/>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03" w:name="_Toc494665963"/>
      <w:bookmarkStart w:id="204" w:name="_Toc238276251"/>
      <w:bookmarkStart w:id="205" w:name="_Toc494721113"/>
      <w:bookmarkStart w:id="206" w:name="_Toc494745330"/>
      <w:bookmarkStart w:id="207" w:name="_Toc494665013"/>
      <w:bookmarkStart w:id="208" w:name="_Toc494665566"/>
      <w:bookmarkStart w:id="209" w:name="_Toc494702283"/>
      <w:bookmarkStart w:id="210" w:name="_Toc236473307"/>
      <w:r>
        <w:rPr>
          <w:rFonts w:hint="eastAsia" w:ascii="宋体" w:hAnsi="宋体"/>
          <w:color w:val="auto"/>
        </w:rPr>
        <w:t xml:space="preserve">            </w:t>
      </w:r>
      <w:bookmarkStart w:id="211" w:name="_Toc10317"/>
      <w:r>
        <w:rPr>
          <w:rFonts w:hint="eastAsia" w:ascii="宋体" w:hAnsi="宋体"/>
          <w:color w:val="auto"/>
        </w:rPr>
        <w:t>项目班子成员情况表</w:t>
      </w:r>
      <w:bookmarkEnd w:id="203"/>
      <w:bookmarkEnd w:id="204"/>
      <w:bookmarkEnd w:id="205"/>
      <w:bookmarkEnd w:id="206"/>
      <w:bookmarkEnd w:id="207"/>
      <w:bookmarkEnd w:id="208"/>
      <w:bookmarkEnd w:id="209"/>
      <w:bookmarkEnd w:id="210"/>
      <w:bookmarkEnd w:id="211"/>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sz w:val="24"/>
                <w:szCs w:val="24"/>
              </w:rPr>
              <w:t>在本项目中承担的工作</w:t>
            </w:r>
          </w:p>
        </w:tc>
        <w:tc>
          <w:tcPr>
            <w:tcW w:w="1842" w:type="dxa"/>
            <w:tcBorders>
              <w:top w:val="single" w:color="auto" w:sz="4" w:space="0"/>
              <w:left w:val="single" w:color="auto" w:sz="4" w:space="0"/>
              <w:right w:val="single" w:color="auto" w:sz="4" w:space="0"/>
            </w:tcBorders>
            <w:shd w:val="clear" w:color="auto" w:fill="F2F2F2"/>
            <w:vAlign w:val="center"/>
          </w:tcPr>
          <w:p>
            <w:pPr>
              <w:jc w:val="center"/>
              <w:rPr>
                <w:rFonts w:ascii="宋体" w:hAnsi="宋体"/>
                <w:color w:val="auto"/>
                <w:sz w:val="24"/>
                <w:szCs w:val="24"/>
              </w:rPr>
            </w:pPr>
            <w:r>
              <w:rPr>
                <w:rFonts w:hint="eastAsia" w:ascii="宋体" w:hAnsi="宋体"/>
                <w:color w:val="auto"/>
                <w:kern w:val="0"/>
                <w:sz w:val="24"/>
                <w:szCs w:val="28"/>
              </w:rPr>
              <w:t>个人专业资质证书编号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p>
        </w:tc>
        <w:tc>
          <w:tcPr>
            <w:tcW w:w="1843" w:type="dxa"/>
            <w:tcBorders>
              <w:left w:val="single" w:color="auto" w:sz="4" w:space="0"/>
              <w:right w:val="single" w:color="auto" w:sz="4" w:space="0"/>
            </w:tcBorders>
            <w:vAlign w:val="center"/>
          </w:tcPr>
          <w:p>
            <w:pPr>
              <w:rPr>
                <w:rFonts w:ascii="宋体" w:hAnsi="宋体"/>
                <w:color w:val="auto"/>
                <w:sz w:val="24"/>
                <w:szCs w:val="24"/>
              </w:rPr>
            </w:pPr>
          </w:p>
        </w:tc>
        <w:tc>
          <w:tcPr>
            <w:tcW w:w="1842" w:type="dxa"/>
            <w:tcBorders>
              <w:left w:val="single" w:color="auto" w:sz="4" w:space="0"/>
              <w:right w:val="single" w:color="auto" w:sz="4" w:space="0"/>
            </w:tcBorders>
            <w:vAlign w:val="center"/>
          </w:tcPr>
          <w:p>
            <w:pP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szCs w:val="24"/>
              </w:rPr>
            </w:pPr>
            <w:r>
              <w:rPr>
                <w:rFonts w:ascii="宋体" w:hAnsi="宋体"/>
                <w:b/>
                <w:color w:val="auto"/>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42" w:type="dxa"/>
            <w:tcBorders>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bl>
    <w:p>
      <w:pPr>
        <w:spacing w:line="360" w:lineRule="auto"/>
        <w:ind w:left="725" w:hanging="723" w:hangingChars="300"/>
        <w:jc w:val="left"/>
        <w:rPr>
          <w:rFonts w:ascii="宋体" w:hAnsi="宋体"/>
          <w:color w:val="auto"/>
          <w:sz w:val="24"/>
          <w:szCs w:val="24"/>
        </w:rPr>
      </w:pPr>
      <w:r>
        <w:rPr>
          <w:rFonts w:hint="eastAsia" w:ascii="宋体" w:hAnsi="宋体"/>
          <w:color w:val="auto"/>
          <w:sz w:val="24"/>
          <w:szCs w:val="24"/>
        </w:rPr>
        <w:t>说明：投标文件正本未按照要求详细完整填写此表，导致的后果由投标人自行承担。</w:t>
      </w:r>
    </w:p>
    <w:p>
      <w:pPr>
        <w:spacing w:line="360" w:lineRule="auto"/>
        <w:ind w:left="725" w:hanging="723" w:hangingChars="300"/>
        <w:jc w:val="left"/>
        <w:rPr>
          <w:rFonts w:ascii="宋体" w:hAnsi="宋体"/>
          <w:color w:val="auto"/>
          <w:sz w:val="24"/>
          <w:szCs w:val="24"/>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12" w:name="_Toc236473312"/>
      <w:bookmarkStart w:id="213" w:name="_Toc494665567"/>
      <w:bookmarkStart w:id="214" w:name="_Toc494721114"/>
      <w:bookmarkStart w:id="215" w:name="_Toc494745331"/>
      <w:bookmarkStart w:id="216" w:name="_Toc494665014"/>
      <w:bookmarkStart w:id="217" w:name="_Toc494665964"/>
      <w:bookmarkStart w:id="218" w:name="_Toc494702284"/>
      <w:bookmarkStart w:id="219" w:name="_Toc238276256"/>
      <w:r>
        <w:rPr>
          <w:rFonts w:hint="eastAsia" w:ascii="宋体" w:hAnsi="宋体"/>
          <w:color w:val="auto"/>
        </w:rPr>
        <w:t xml:space="preserve">          </w:t>
      </w:r>
      <w:bookmarkStart w:id="220" w:name="_Toc24996"/>
      <w:r>
        <w:rPr>
          <w:rFonts w:hint="eastAsia" w:ascii="宋体" w:hAnsi="宋体"/>
          <w:color w:val="auto"/>
        </w:rPr>
        <w:t>投标人类似项目业绩表</w:t>
      </w:r>
      <w:bookmarkEnd w:id="212"/>
      <w:bookmarkEnd w:id="213"/>
      <w:bookmarkEnd w:id="214"/>
      <w:bookmarkEnd w:id="215"/>
      <w:bookmarkEnd w:id="216"/>
      <w:bookmarkEnd w:id="217"/>
      <w:bookmarkEnd w:id="218"/>
      <w:bookmarkEnd w:id="219"/>
      <w:bookmarkEnd w:id="220"/>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项目单位名称</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项目名称</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项目单位联系人姓名及联系方式</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项目金额</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项目负责人姓名</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项目时间</w:t>
            </w:r>
          </w:p>
        </w:tc>
        <w:tc>
          <w:tcPr>
            <w:tcW w:w="7200" w:type="dxa"/>
          </w:tcPr>
          <w:p>
            <w:pPr>
              <w:rPr>
                <w:rFonts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vAlign w:val="center"/>
          </w:tcPr>
          <w:p>
            <w:pPr>
              <w:jc w:val="center"/>
              <w:rPr>
                <w:rFonts w:ascii="宋体" w:hAnsi="宋体" w:cs="Courier New"/>
                <w:color w:val="auto"/>
                <w:sz w:val="24"/>
                <w:szCs w:val="24"/>
              </w:rPr>
            </w:pPr>
            <w:r>
              <w:rPr>
                <w:rFonts w:hint="eastAsia" w:ascii="宋体" w:hAnsi="宋体" w:cs="Courier New"/>
                <w:color w:val="auto"/>
                <w:sz w:val="24"/>
                <w:szCs w:val="24"/>
              </w:rPr>
              <w:t>项目内容</w:t>
            </w:r>
          </w:p>
        </w:tc>
        <w:tc>
          <w:tcPr>
            <w:tcW w:w="7200" w:type="dxa"/>
          </w:tcPr>
          <w:p>
            <w:pPr>
              <w:rPr>
                <w:rFonts w:ascii="宋体" w:hAnsi="宋体" w:cs="Courier New"/>
                <w:color w:val="auto"/>
                <w:sz w:val="24"/>
                <w:szCs w:val="24"/>
              </w:rPr>
            </w:pPr>
          </w:p>
        </w:tc>
      </w:tr>
    </w:tbl>
    <w:p>
      <w:pPr>
        <w:spacing w:line="360" w:lineRule="auto"/>
        <w:ind w:left="1099" w:hanging="1096" w:hangingChars="455"/>
        <w:jc w:val="left"/>
        <w:rPr>
          <w:rFonts w:ascii="宋体" w:hAnsi="宋体"/>
          <w:color w:val="auto"/>
          <w:sz w:val="24"/>
          <w:szCs w:val="24"/>
        </w:rPr>
      </w:pPr>
      <w:r>
        <w:rPr>
          <w:rFonts w:hint="eastAsia" w:ascii="宋体" w:hAnsi="宋体"/>
          <w:color w:val="auto"/>
          <w:sz w:val="24"/>
          <w:szCs w:val="24"/>
        </w:rPr>
        <w:t>说明：1．每个合同应单独附表，并附上相关证明材料，</w:t>
      </w:r>
      <w:r>
        <w:rPr>
          <w:rFonts w:hint="eastAsia" w:ascii="宋体" w:hAnsi="宋体" w:cs="Corbel"/>
          <w:color w:val="auto"/>
          <w:sz w:val="24"/>
          <w:szCs w:val="24"/>
        </w:rPr>
        <w:t>未按照要求详细完整填写此表，</w:t>
      </w:r>
      <w:r>
        <w:rPr>
          <w:rFonts w:hint="eastAsia" w:ascii="宋体" w:hAnsi="宋体"/>
          <w:color w:val="auto"/>
          <w:sz w:val="24"/>
          <w:szCs w:val="24"/>
        </w:rPr>
        <w:t>导致的后果由投标人自行承担。</w:t>
      </w:r>
    </w:p>
    <w:p>
      <w:pPr>
        <w:spacing w:line="360" w:lineRule="auto"/>
        <w:ind w:left="1066" w:leftChars="339" w:hanging="351" w:hangingChars="146"/>
        <w:jc w:val="left"/>
        <w:rPr>
          <w:rFonts w:ascii="宋体" w:hAnsi="宋体"/>
          <w:color w:val="auto"/>
          <w:sz w:val="24"/>
          <w:szCs w:val="24"/>
        </w:rPr>
      </w:pPr>
      <w:r>
        <w:rPr>
          <w:rFonts w:hint="eastAsia" w:ascii="宋体" w:hAnsi="宋体"/>
          <w:color w:val="auto"/>
          <w:sz w:val="24"/>
          <w:szCs w:val="24"/>
        </w:rPr>
        <w:t>2．项目内容请详细说明所承担的具体工作内容等。</w:t>
      </w:r>
    </w:p>
    <w:p>
      <w:pPr>
        <w:spacing w:line="360" w:lineRule="auto"/>
        <w:ind w:firstLine="723" w:firstLineChars="300"/>
        <w:rPr>
          <w:rFonts w:ascii="宋体" w:hAnsi="宋体"/>
          <w:color w:val="auto"/>
          <w:sz w:val="24"/>
          <w:szCs w:val="24"/>
        </w:rPr>
      </w:pPr>
    </w:p>
    <w:p>
      <w:pPr>
        <w:spacing w:line="360" w:lineRule="auto"/>
        <w:ind w:firstLine="723" w:firstLineChars="300"/>
        <w:rPr>
          <w:rFonts w:ascii="宋体" w:hAnsi="宋体"/>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21" w:name="_Toc494721115"/>
      <w:bookmarkStart w:id="222" w:name="_Toc494665568"/>
      <w:bookmarkStart w:id="223" w:name="_Toc494745332"/>
      <w:bookmarkStart w:id="224" w:name="_Toc494665015"/>
      <w:bookmarkStart w:id="225" w:name="_Toc494702285"/>
      <w:bookmarkStart w:id="226" w:name="_Toc494665965"/>
      <w:r>
        <w:rPr>
          <w:rFonts w:hint="eastAsia" w:ascii="宋体" w:hAnsi="宋体"/>
          <w:color w:val="auto"/>
        </w:rPr>
        <w:t xml:space="preserve">           </w:t>
      </w:r>
      <w:bookmarkStart w:id="227" w:name="_Toc20014"/>
      <w:r>
        <w:rPr>
          <w:rFonts w:hint="eastAsia" w:ascii="宋体" w:hAnsi="宋体"/>
          <w:color w:val="auto"/>
        </w:rPr>
        <w:t>符合性审查对照表</w:t>
      </w:r>
      <w:bookmarkEnd w:id="221"/>
      <w:bookmarkEnd w:id="222"/>
      <w:bookmarkEnd w:id="223"/>
      <w:bookmarkEnd w:id="224"/>
      <w:bookmarkEnd w:id="225"/>
      <w:bookmarkEnd w:id="226"/>
      <w:bookmarkEnd w:id="227"/>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738"/>
        <w:gridCol w:w="339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序号</w:t>
            </w:r>
          </w:p>
        </w:tc>
        <w:tc>
          <w:tcPr>
            <w:tcW w:w="3738"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w:t>
            </w:r>
            <w:r>
              <w:rPr>
                <w:rFonts w:hint="eastAsia" w:ascii="宋体" w:hAnsi="宋体" w:cs="Corbel"/>
                <w:color w:val="auto"/>
                <w:sz w:val="24"/>
                <w:szCs w:val="24"/>
              </w:rPr>
              <w:t>符合性审查条款</w:t>
            </w:r>
          </w:p>
        </w:tc>
        <w:tc>
          <w:tcPr>
            <w:tcW w:w="3395"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680"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927"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3738" w:type="dxa"/>
            <w:vAlign w:val="center"/>
          </w:tcPr>
          <w:p>
            <w:pPr>
              <w:jc w:val="center"/>
              <w:rPr>
                <w:rFonts w:ascii="宋体" w:hAnsi="宋体" w:cs="仿宋_GB2312"/>
                <w:color w:val="auto"/>
                <w:sz w:val="24"/>
                <w:szCs w:val="24"/>
              </w:rPr>
            </w:pPr>
          </w:p>
        </w:tc>
        <w:tc>
          <w:tcPr>
            <w:tcW w:w="3395" w:type="dxa"/>
            <w:vAlign w:val="center"/>
          </w:tcPr>
          <w:p>
            <w:pPr>
              <w:jc w:val="center"/>
              <w:rPr>
                <w:rFonts w:ascii="宋体" w:hAnsi="宋体" w:cs="仿宋_GB2312"/>
                <w:color w:val="auto"/>
                <w:sz w:val="24"/>
                <w:szCs w:val="24"/>
              </w:rPr>
            </w:pPr>
          </w:p>
        </w:tc>
        <w:tc>
          <w:tcPr>
            <w:tcW w:w="1680"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b/>
          <w:color w:val="auto"/>
          <w:sz w:val="24"/>
          <w:szCs w:val="24"/>
        </w:rPr>
      </w:pPr>
      <w:r>
        <w:rPr>
          <w:rFonts w:hint="eastAsia" w:ascii="宋体" w:hAnsi="宋体"/>
          <w:color w:val="auto"/>
          <w:sz w:val="24"/>
          <w:szCs w:val="24"/>
        </w:rPr>
        <w:t>说明</w:t>
      </w:r>
      <w:r>
        <w:rPr>
          <w:rFonts w:hint="eastAsia" w:ascii="宋体" w:hAnsi="宋体" w:cs="Corbel"/>
          <w:color w:val="auto"/>
          <w:sz w:val="24"/>
          <w:szCs w:val="24"/>
        </w:rPr>
        <w:t>：1</w:t>
      </w:r>
      <w:r>
        <w:rPr>
          <w:rFonts w:hint="eastAsia" w:ascii="宋体" w:hAnsi="宋体"/>
          <w:color w:val="auto"/>
          <w:sz w:val="24"/>
          <w:szCs w:val="24"/>
        </w:rPr>
        <w:t>．</w:t>
      </w:r>
      <w:r>
        <w:rPr>
          <w:rFonts w:hint="eastAsia" w:ascii="宋体" w:hAnsi="宋体" w:cs="Corbel"/>
          <w:color w:val="auto"/>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color w:val="auto"/>
          <w:sz w:val="24"/>
          <w:szCs w:val="24"/>
        </w:rPr>
        <w:t>导致的后果由投标人自行承担。</w:t>
      </w:r>
    </w:p>
    <w:p>
      <w:pPr>
        <w:spacing w:before="100" w:beforeAutospacing="1" w:after="100" w:afterAutospacing="1" w:line="360" w:lineRule="auto"/>
        <w:ind w:firstLine="3826" w:firstLineChars="1588"/>
        <w:rPr>
          <w:rFonts w:ascii="宋体" w:hAnsi="宋体"/>
          <w:b/>
          <w:bCs/>
          <w:color w:val="auto"/>
          <w:sz w:val="24"/>
          <w:szCs w:val="21"/>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28" w:name="_Toc494745333"/>
      <w:bookmarkStart w:id="229" w:name="_Toc494665966"/>
      <w:bookmarkStart w:id="230" w:name="_Toc494721116"/>
      <w:bookmarkStart w:id="231" w:name="_Toc494665016"/>
      <w:bookmarkStart w:id="232" w:name="_Toc494665569"/>
      <w:bookmarkStart w:id="233" w:name="_Toc494702286"/>
      <w:r>
        <w:rPr>
          <w:rFonts w:hint="eastAsia" w:ascii="宋体" w:hAnsi="宋体"/>
          <w:color w:val="auto"/>
        </w:rPr>
        <w:t xml:space="preserve">          </w:t>
      </w:r>
      <w:bookmarkStart w:id="234" w:name="_Toc23119"/>
      <w:r>
        <w:rPr>
          <w:rFonts w:hint="eastAsia" w:ascii="宋体" w:hAnsi="宋体"/>
          <w:color w:val="auto"/>
        </w:rPr>
        <w:t>商务要求响应、偏离说明表</w:t>
      </w:r>
      <w:bookmarkEnd w:id="228"/>
      <w:bookmarkEnd w:id="229"/>
      <w:bookmarkEnd w:id="230"/>
      <w:bookmarkEnd w:id="231"/>
      <w:bookmarkEnd w:id="232"/>
      <w:bookmarkEnd w:id="233"/>
      <w:bookmarkEnd w:id="234"/>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414"/>
        <w:gridCol w:w="3414"/>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5"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序号</w:t>
            </w:r>
          </w:p>
        </w:tc>
        <w:tc>
          <w:tcPr>
            <w:tcW w:w="3414"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招标文件商务要求条款</w:t>
            </w:r>
          </w:p>
        </w:tc>
        <w:tc>
          <w:tcPr>
            <w:tcW w:w="3414"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99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5"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3414" w:type="dxa"/>
            <w:vAlign w:val="center"/>
          </w:tcPr>
          <w:p>
            <w:pPr>
              <w:jc w:val="center"/>
              <w:rPr>
                <w:rFonts w:ascii="宋体" w:hAnsi="宋体" w:cs="仿宋_GB2312"/>
                <w:color w:val="auto"/>
                <w:sz w:val="24"/>
                <w:szCs w:val="24"/>
              </w:rPr>
            </w:pPr>
          </w:p>
        </w:tc>
        <w:tc>
          <w:tcPr>
            <w:tcW w:w="3414" w:type="dxa"/>
            <w:vAlign w:val="center"/>
          </w:tcPr>
          <w:p>
            <w:pPr>
              <w:jc w:val="center"/>
              <w:rPr>
                <w:rFonts w:ascii="宋体" w:hAnsi="宋体" w:cs="仿宋_GB2312"/>
                <w:color w:val="auto"/>
                <w:sz w:val="24"/>
                <w:szCs w:val="24"/>
              </w:rPr>
            </w:pPr>
          </w:p>
        </w:tc>
        <w:tc>
          <w:tcPr>
            <w:tcW w:w="1997"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color w:val="auto"/>
          <w:sz w:val="24"/>
          <w:szCs w:val="24"/>
        </w:rPr>
      </w:pPr>
      <w:r>
        <w:rPr>
          <w:rFonts w:hint="eastAsia" w:ascii="宋体" w:hAnsi="宋体"/>
          <w:color w:val="auto"/>
          <w:sz w:val="24"/>
          <w:szCs w:val="24"/>
        </w:rPr>
        <w:t>说明</w:t>
      </w:r>
      <w:r>
        <w:rPr>
          <w:rFonts w:hint="eastAsia" w:ascii="宋体" w:hAnsi="宋体" w:cs="Corbel"/>
          <w:color w:val="auto"/>
          <w:sz w:val="24"/>
          <w:szCs w:val="24"/>
        </w:rPr>
        <w:t>：1．投标人应按招标文件第三章“项目技术、服务及商务要求”中“商务要求、实施要求”条款逐项说明是否满足要求，如有偏离,投标人应详细说明。未按照要求填写此表或仅注明“符合”、“满足”的，</w:t>
      </w:r>
      <w:r>
        <w:rPr>
          <w:rFonts w:hint="eastAsia" w:ascii="宋体" w:hAnsi="宋体"/>
          <w:color w:val="auto"/>
          <w:sz w:val="24"/>
          <w:szCs w:val="24"/>
        </w:rPr>
        <w:t>导致的后果由投标人自行承担。</w:t>
      </w:r>
    </w:p>
    <w:p>
      <w:pPr>
        <w:adjustRightInd w:val="0"/>
        <w:snapToGrid w:val="0"/>
        <w:spacing w:line="360" w:lineRule="auto"/>
        <w:ind w:left="785" w:leftChars="258" w:hanging="241" w:hangingChars="100"/>
        <w:rPr>
          <w:rFonts w:ascii="宋体" w:hAnsi="宋体" w:cs="Corbel"/>
          <w:color w:val="auto"/>
          <w:sz w:val="24"/>
          <w:szCs w:val="24"/>
        </w:rPr>
      </w:pPr>
    </w:p>
    <w:p>
      <w:pPr>
        <w:adjustRightInd w:val="0"/>
        <w:snapToGrid w:val="0"/>
        <w:spacing w:line="360" w:lineRule="auto"/>
        <w:ind w:left="785" w:leftChars="258" w:hanging="241" w:hangingChars="100"/>
        <w:rPr>
          <w:rFonts w:ascii="宋体" w:hAnsi="宋体" w:cs="Corbel"/>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35" w:name="_Toc494721117"/>
      <w:bookmarkStart w:id="236" w:name="_Toc11869"/>
      <w:bookmarkStart w:id="237" w:name="_Toc494665570"/>
      <w:bookmarkStart w:id="238" w:name="_Toc494745334"/>
      <w:bookmarkStart w:id="239" w:name="_Toc494665967"/>
      <w:bookmarkStart w:id="240" w:name="_Toc494665017"/>
      <w:bookmarkStart w:id="241" w:name="_Toc494702287"/>
      <w:r>
        <w:rPr>
          <w:rFonts w:hint="eastAsia" w:ascii="宋体" w:hAnsi="宋体"/>
          <w:color w:val="auto"/>
        </w:rPr>
        <w:t>商务要求“★”号条款响应、偏离说明表</w:t>
      </w:r>
      <w:bookmarkEnd w:id="235"/>
      <w:bookmarkEnd w:id="236"/>
      <w:bookmarkEnd w:id="237"/>
      <w:bookmarkEnd w:id="238"/>
      <w:bookmarkEnd w:id="239"/>
      <w:bookmarkEnd w:id="240"/>
      <w:bookmarkEnd w:id="241"/>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序号</w:t>
            </w:r>
          </w:p>
        </w:tc>
        <w:tc>
          <w:tcPr>
            <w:tcW w:w="276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w:t>
            </w:r>
            <w:r>
              <w:rPr>
                <w:rFonts w:hint="eastAsia" w:ascii="宋体" w:hAnsi="宋体" w:cs="Corbel"/>
                <w:color w:val="auto"/>
                <w:sz w:val="24"/>
                <w:szCs w:val="24"/>
              </w:rPr>
              <w:t>商务要求“</w:t>
            </w:r>
            <w:r>
              <w:rPr>
                <w:rFonts w:hint="eastAsia" w:ascii="宋体" w:hAnsi="宋体"/>
                <w:color w:val="auto"/>
              </w:rPr>
              <w:t>★</w:t>
            </w:r>
            <w:r>
              <w:rPr>
                <w:rFonts w:hint="eastAsia" w:ascii="宋体" w:hAnsi="宋体" w:cs="Corbel"/>
                <w:color w:val="auto"/>
                <w:sz w:val="24"/>
                <w:szCs w:val="24"/>
              </w:rPr>
              <w:t>”号条款</w:t>
            </w:r>
          </w:p>
        </w:tc>
        <w:tc>
          <w:tcPr>
            <w:tcW w:w="276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61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c>
          <w:tcPr>
            <w:tcW w:w="1619" w:type="dxa"/>
            <w:shd w:val="clear" w:color="auto" w:fill="F2F2F2"/>
          </w:tcPr>
          <w:p>
            <w:pPr>
              <w:jc w:val="center"/>
              <w:rPr>
                <w:rFonts w:ascii="宋体" w:hAnsi="宋体" w:cs="仿宋_GB2312"/>
                <w:color w:val="auto"/>
                <w:sz w:val="24"/>
                <w:szCs w:val="24"/>
              </w:rPr>
            </w:pPr>
            <w:r>
              <w:rPr>
                <w:rFonts w:hint="eastAsia" w:ascii="宋体" w:hAnsi="宋体" w:cs="仿宋_GB2312"/>
                <w:color w:val="auto"/>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2767"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cs="Corbel"/>
          <w:color w:val="auto"/>
          <w:sz w:val="24"/>
          <w:szCs w:val="24"/>
        </w:rPr>
      </w:pPr>
      <w:r>
        <w:rPr>
          <w:rFonts w:hint="eastAsia" w:ascii="宋体" w:hAnsi="宋体" w:cs="Corbel"/>
          <w:color w:val="auto"/>
          <w:sz w:val="24"/>
          <w:szCs w:val="24"/>
        </w:rPr>
        <w:t>说明：1．投标人应按招标文件第三章“项目技术、服务及商务要求”中商务要求“</w:t>
      </w:r>
      <w:r>
        <w:rPr>
          <w:rFonts w:hint="eastAsia" w:ascii="宋体" w:hAnsi="宋体"/>
          <w:color w:val="auto"/>
        </w:rPr>
        <w:t>★</w:t>
      </w:r>
      <w:r>
        <w:rPr>
          <w:rFonts w:hint="eastAsia" w:ascii="宋体" w:hAnsi="宋体" w:cs="Corbel"/>
          <w:color w:val="auto"/>
          <w:sz w:val="24"/>
          <w:szCs w:val="24"/>
        </w:rPr>
        <w:t>”号条款进行逐项说明是否满足要求，如有偏离,投标人应详细说明。未按照要求填写此表或仅注明“符合”、“满足”的，导致的后果由投标人自行承担。</w:t>
      </w:r>
    </w:p>
    <w:p>
      <w:pPr>
        <w:spacing w:line="360" w:lineRule="auto"/>
        <w:ind w:left="1066" w:leftChars="339" w:hanging="351" w:hangingChars="146"/>
        <w:jc w:val="left"/>
        <w:rPr>
          <w:rFonts w:ascii="宋体" w:hAnsi="宋体" w:cs="Corbel"/>
          <w:color w:val="auto"/>
          <w:sz w:val="24"/>
          <w:szCs w:val="24"/>
        </w:rPr>
      </w:pPr>
      <w:r>
        <w:rPr>
          <w:rFonts w:hint="eastAsia" w:ascii="宋体" w:hAnsi="宋体" w:cs="Corbel"/>
          <w:color w:val="auto"/>
          <w:sz w:val="24"/>
          <w:szCs w:val="24"/>
        </w:rPr>
        <w:t>2．投标人提供的相关证明文件对应的页码填写到上表“投标文件对应的页码”中。如未提供页码或内容页码完全不一致的，</w:t>
      </w:r>
      <w:r>
        <w:rPr>
          <w:rFonts w:hint="eastAsia" w:ascii="宋体" w:hAnsi="宋体"/>
          <w:color w:val="auto"/>
          <w:sz w:val="24"/>
          <w:szCs w:val="24"/>
        </w:rPr>
        <w:t>导致的后果由投标人自行承担。</w:t>
      </w: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42" w:name="_Toc494665968"/>
      <w:bookmarkStart w:id="243" w:name="_Toc494702288"/>
      <w:bookmarkStart w:id="244" w:name="_Toc494745335"/>
      <w:bookmarkStart w:id="245" w:name="_Toc494665571"/>
      <w:bookmarkStart w:id="246" w:name="_Toc494665018"/>
      <w:bookmarkStart w:id="247" w:name="_Toc494721118"/>
      <w:r>
        <w:rPr>
          <w:rFonts w:hint="eastAsia" w:ascii="宋体" w:hAnsi="宋体"/>
          <w:color w:val="auto"/>
        </w:rPr>
        <w:t xml:space="preserve">            </w:t>
      </w:r>
      <w:bookmarkStart w:id="248" w:name="_Toc16337"/>
      <w:r>
        <w:rPr>
          <w:rFonts w:hint="eastAsia" w:ascii="宋体" w:hAnsi="宋体"/>
          <w:color w:val="auto"/>
        </w:rPr>
        <w:t>商务评议对照表</w:t>
      </w:r>
      <w:bookmarkEnd w:id="242"/>
      <w:bookmarkEnd w:id="243"/>
      <w:bookmarkEnd w:id="244"/>
      <w:bookmarkEnd w:id="245"/>
      <w:bookmarkEnd w:id="246"/>
      <w:bookmarkEnd w:id="247"/>
      <w:bookmarkEnd w:id="248"/>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2F2F2"/>
            <w:vAlign w:val="center"/>
          </w:tcPr>
          <w:p>
            <w:pPr>
              <w:ind w:left="-37" w:leftChars="-18" w:right="-48" w:rightChars="-23"/>
              <w:jc w:val="center"/>
              <w:rPr>
                <w:rFonts w:ascii="宋体" w:hAnsi="宋体" w:cs="仿宋_GB2312"/>
                <w:color w:val="auto"/>
                <w:sz w:val="24"/>
                <w:szCs w:val="24"/>
              </w:rPr>
            </w:pPr>
            <w:r>
              <w:rPr>
                <w:rFonts w:hint="eastAsia" w:ascii="宋体" w:hAnsi="宋体" w:cs="仿宋_GB2312"/>
                <w:color w:val="auto"/>
                <w:sz w:val="24"/>
                <w:szCs w:val="24"/>
              </w:rPr>
              <w:t>序号</w:t>
            </w:r>
          </w:p>
        </w:tc>
        <w:tc>
          <w:tcPr>
            <w:tcW w:w="2848"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招标文件商务评分标准</w:t>
            </w:r>
          </w:p>
        </w:tc>
        <w:tc>
          <w:tcPr>
            <w:tcW w:w="276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61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c>
          <w:tcPr>
            <w:tcW w:w="1619" w:type="dxa"/>
            <w:shd w:val="clear" w:color="auto" w:fill="F2F2F2"/>
          </w:tcPr>
          <w:p>
            <w:pPr>
              <w:jc w:val="center"/>
              <w:rPr>
                <w:rFonts w:ascii="宋体" w:hAnsi="宋体" w:cs="仿宋_GB2312"/>
                <w:color w:val="auto"/>
                <w:sz w:val="24"/>
                <w:szCs w:val="24"/>
              </w:rPr>
            </w:pPr>
            <w:r>
              <w:rPr>
                <w:rFonts w:hint="eastAsia" w:ascii="宋体" w:hAnsi="宋体" w:cs="仿宋_GB2312"/>
                <w:color w:val="auto"/>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2848" w:type="dxa"/>
            <w:vAlign w:val="center"/>
          </w:tcPr>
          <w:p>
            <w:pPr>
              <w:jc w:val="center"/>
              <w:rPr>
                <w:rFonts w:ascii="宋体" w:hAnsi="宋体" w:cs="仿宋_GB2312"/>
                <w:color w:val="auto"/>
                <w:sz w:val="24"/>
                <w:szCs w:val="24"/>
              </w:rPr>
            </w:pPr>
          </w:p>
        </w:tc>
        <w:tc>
          <w:tcPr>
            <w:tcW w:w="2767"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cs="Corbel"/>
          <w:color w:val="auto"/>
          <w:sz w:val="24"/>
          <w:szCs w:val="24"/>
        </w:rPr>
      </w:pPr>
      <w:r>
        <w:rPr>
          <w:rFonts w:hint="eastAsia" w:ascii="宋体" w:hAnsi="宋体" w:cs="Corbel"/>
          <w:color w:val="auto"/>
          <w:sz w:val="24"/>
          <w:szCs w:val="24"/>
        </w:rPr>
        <w:t>说明：1．投标人应按招标文件第五章“评标方法、程序及标准”中“商务评议”的评分标准逐项说明是否满足要求，如有偏离,投标人应详细说明。未按照要求填写此表或仅注明“符合”、“满足”的，</w:t>
      </w:r>
      <w:r>
        <w:rPr>
          <w:rFonts w:hint="eastAsia" w:ascii="宋体" w:hAnsi="宋体"/>
          <w:color w:val="auto"/>
          <w:sz w:val="24"/>
          <w:szCs w:val="24"/>
        </w:rPr>
        <w:t>导致的后果由投标人自行承担。</w:t>
      </w:r>
    </w:p>
    <w:p>
      <w:pPr>
        <w:spacing w:line="360" w:lineRule="auto"/>
        <w:ind w:left="1066" w:leftChars="339" w:hanging="351" w:hangingChars="146"/>
        <w:jc w:val="left"/>
        <w:rPr>
          <w:rFonts w:ascii="宋体" w:hAnsi="宋体" w:cs="Corbel"/>
          <w:color w:val="auto"/>
          <w:sz w:val="24"/>
          <w:szCs w:val="24"/>
        </w:rPr>
      </w:pPr>
      <w:r>
        <w:rPr>
          <w:rFonts w:hint="eastAsia" w:ascii="宋体" w:hAnsi="宋体" w:cs="Corbel"/>
          <w:color w:val="auto"/>
          <w:sz w:val="24"/>
          <w:szCs w:val="24"/>
        </w:rPr>
        <w:t>2．投标人提供的相关证明文件对应的页码填写到上表“投标文件对应的页码”中。如未提供页码或内容页码完全不一致的，</w:t>
      </w:r>
      <w:r>
        <w:rPr>
          <w:rFonts w:hint="eastAsia" w:ascii="宋体" w:hAnsi="宋体"/>
          <w:color w:val="auto"/>
          <w:sz w:val="24"/>
          <w:szCs w:val="24"/>
        </w:rPr>
        <w:t>导致的后果由投标人自行承担。</w:t>
      </w: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49" w:name="_Toc494665019"/>
      <w:bookmarkStart w:id="250" w:name="_Toc494745336"/>
      <w:bookmarkStart w:id="251" w:name="_Toc494665969"/>
      <w:bookmarkStart w:id="252" w:name="_Toc494721119"/>
      <w:bookmarkStart w:id="253" w:name="_Toc494702289"/>
      <w:bookmarkStart w:id="254" w:name="_Toc494665572"/>
      <w:r>
        <w:rPr>
          <w:rFonts w:hint="eastAsia" w:ascii="宋体" w:hAnsi="宋体"/>
          <w:color w:val="auto"/>
        </w:rPr>
        <w:t xml:space="preserve">     </w:t>
      </w:r>
      <w:bookmarkStart w:id="255" w:name="_Toc15823"/>
      <w:r>
        <w:rPr>
          <w:rFonts w:hint="eastAsia" w:ascii="宋体" w:hAnsi="宋体"/>
          <w:color w:val="auto"/>
        </w:rPr>
        <w:t>技术、服务要求响应、偏离说明表</w:t>
      </w:r>
      <w:bookmarkEnd w:id="249"/>
      <w:bookmarkEnd w:id="250"/>
      <w:bookmarkEnd w:id="251"/>
      <w:bookmarkEnd w:id="252"/>
      <w:bookmarkEnd w:id="253"/>
      <w:bookmarkEnd w:id="254"/>
      <w:bookmarkEnd w:id="255"/>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3740"/>
        <w:gridCol w:w="339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1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序号</w:t>
            </w:r>
          </w:p>
        </w:tc>
        <w:tc>
          <w:tcPr>
            <w:tcW w:w="3740"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招标文件技术、服务要求条款</w:t>
            </w:r>
          </w:p>
        </w:tc>
        <w:tc>
          <w:tcPr>
            <w:tcW w:w="339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682"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1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3740" w:type="dxa"/>
            <w:vAlign w:val="center"/>
          </w:tcPr>
          <w:p>
            <w:pPr>
              <w:jc w:val="center"/>
              <w:rPr>
                <w:rFonts w:ascii="宋体" w:hAnsi="宋体" w:cs="仿宋_GB2312"/>
                <w:color w:val="auto"/>
                <w:sz w:val="24"/>
                <w:szCs w:val="24"/>
              </w:rPr>
            </w:pPr>
          </w:p>
        </w:tc>
        <w:tc>
          <w:tcPr>
            <w:tcW w:w="3399" w:type="dxa"/>
            <w:vAlign w:val="center"/>
          </w:tcPr>
          <w:p>
            <w:pPr>
              <w:jc w:val="center"/>
              <w:rPr>
                <w:rFonts w:ascii="宋体" w:hAnsi="宋体" w:cs="仿宋_GB2312"/>
                <w:color w:val="auto"/>
                <w:sz w:val="24"/>
                <w:szCs w:val="24"/>
              </w:rPr>
            </w:pPr>
          </w:p>
        </w:tc>
        <w:tc>
          <w:tcPr>
            <w:tcW w:w="1682"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color w:val="auto"/>
          <w:sz w:val="24"/>
          <w:szCs w:val="24"/>
        </w:rPr>
      </w:pPr>
      <w:r>
        <w:rPr>
          <w:rFonts w:hint="eastAsia" w:ascii="宋体" w:hAnsi="宋体" w:cs="Corbel"/>
          <w:color w:val="auto"/>
          <w:sz w:val="24"/>
          <w:szCs w:val="24"/>
        </w:rPr>
        <w:t>说明：1．投标人应按招标文件第三章“项目技术、服务及商务要求”中“技术、服务要求”表格条款逐项说明是否满足要求，如有偏离,投标人应详细说明。未按照要求填写此表或仅注明“符合”、“满足”的，</w:t>
      </w:r>
      <w:r>
        <w:rPr>
          <w:rFonts w:hint="eastAsia" w:ascii="宋体" w:hAnsi="宋体"/>
          <w:color w:val="auto"/>
          <w:sz w:val="24"/>
          <w:szCs w:val="24"/>
        </w:rPr>
        <w:t>导致的后果由投标人自行承担。</w:t>
      </w:r>
    </w:p>
    <w:p>
      <w:pPr>
        <w:spacing w:before="100" w:beforeAutospacing="1" w:after="100" w:afterAutospacing="1" w:line="360" w:lineRule="auto"/>
        <w:ind w:firstLine="3329" w:firstLineChars="1382"/>
        <w:rPr>
          <w:rFonts w:hAnsi="宋体"/>
          <w:b/>
          <w:bCs/>
          <w:color w:val="auto"/>
          <w:sz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56" w:name="_Toc494745337"/>
      <w:bookmarkStart w:id="257" w:name="_Toc494665020"/>
      <w:bookmarkStart w:id="258" w:name="_Toc494702290"/>
      <w:bookmarkStart w:id="259" w:name="_Toc23354"/>
      <w:bookmarkStart w:id="260" w:name="_Toc494665573"/>
      <w:bookmarkStart w:id="261" w:name="_Toc494665970"/>
      <w:bookmarkStart w:id="262" w:name="_Toc494721120"/>
      <w:bookmarkStart w:id="263" w:name="_Toc329859066"/>
      <w:r>
        <w:rPr>
          <w:rFonts w:hint="eastAsia" w:ascii="宋体" w:hAnsi="宋体"/>
          <w:color w:val="auto"/>
        </w:rPr>
        <w:t>技术、服务要求“★”号条款响应、偏离说明表</w:t>
      </w:r>
      <w:bookmarkEnd w:id="256"/>
      <w:bookmarkEnd w:id="257"/>
      <w:bookmarkEnd w:id="258"/>
      <w:bookmarkEnd w:id="259"/>
      <w:bookmarkEnd w:id="260"/>
      <w:bookmarkEnd w:id="261"/>
      <w:bookmarkEnd w:id="262"/>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877"/>
        <w:gridCol w:w="150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序号</w:t>
            </w:r>
          </w:p>
        </w:tc>
        <w:tc>
          <w:tcPr>
            <w:tcW w:w="276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w:t>
            </w:r>
            <w:r>
              <w:rPr>
                <w:rFonts w:hint="eastAsia" w:ascii="宋体" w:hAnsi="宋体" w:cs="Corbel"/>
                <w:color w:val="auto"/>
                <w:sz w:val="24"/>
                <w:szCs w:val="24"/>
              </w:rPr>
              <w:t>技术、服务要求“</w:t>
            </w:r>
            <w:r>
              <w:rPr>
                <w:rFonts w:hint="eastAsia" w:ascii="宋体" w:hAnsi="宋体"/>
                <w:color w:val="auto"/>
              </w:rPr>
              <w:t>★</w:t>
            </w:r>
            <w:r>
              <w:rPr>
                <w:rFonts w:hint="eastAsia" w:ascii="宋体" w:hAnsi="宋体" w:cs="Corbel"/>
                <w:color w:val="auto"/>
                <w:sz w:val="24"/>
                <w:szCs w:val="24"/>
              </w:rPr>
              <w:t>”号条款</w:t>
            </w:r>
          </w:p>
        </w:tc>
        <w:tc>
          <w:tcPr>
            <w:tcW w:w="287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50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c>
          <w:tcPr>
            <w:tcW w:w="1619" w:type="dxa"/>
            <w:shd w:val="clear" w:color="auto" w:fill="F2F2F2"/>
          </w:tcPr>
          <w:p>
            <w:pPr>
              <w:jc w:val="center"/>
              <w:rPr>
                <w:rFonts w:ascii="宋体" w:hAnsi="宋体" w:cs="仿宋_GB2312"/>
                <w:color w:val="auto"/>
                <w:sz w:val="24"/>
                <w:szCs w:val="24"/>
              </w:rPr>
            </w:pPr>
            <w:r>
              <w:rPr>
                <w:rFonts w:hint="eastAsia" w:ascii="宋体" w:hAnsi="宋体" w:cs="仿宋_GB2312"/>
                <w:color w:val="auto"/>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2767" w:type="dxa"/>
            <w:vAlign w:val="center"/>
          </w:tcPr>
          <w:p>
            <w:pPr>
              <w:jc w:val="center"/>
              <w:rPr>
                <w:rFonts w:ascii="宋体" w:hAnsi="宋体" w:cs="仿宋_GB2312"/>
                <w:color w:val="auto"/>
                <w:sz w:val="24"/>
                <w:szCs w:val="24"/>
              </w:rPr>
            </w:pPr>
          </w:p>
        </w:tc>
        <w:tc>
          <w:tcPr>
            <w:tcW w:w="2877" w:type="dxa"/>
            <w:vAlign w:val="center"/>
          </w:tcPr>
          <w:p>
            <w:pPr>
              <w:jc w:val="center"/>
              <w:rPr>
                <w:rFonts w:ascii="宋体" w:hAnsi="宋体" w:cs="仿宋_GB2312"/>
                <w:color w:val="auto"/>
                <w:sz w:val="24"/>
                <w:szCs w:val="24"/>
              </w:rPr>
            </w:pPr>
          </w:p>
        </w:tc>
        <w:tc>
          <w:tcPr>
            <w:tcW w:w="1509" w:type="dxa"/>
            <w:vAlign w:val="center"/>
          </w:tcPr>
          <w:p>
            <w:pPr>
              <w:jc w:val="center"/>
              <w:rPr>
                <w:rFonts w:ascii="宋体" w:hAnsi="宋体" w:cs="仿宋_GB2312"/>
                <w:color w:val="auto"/>
                <w:sz w:val="24"/>
                <w:szCs w:val="24"/>
              </w:rPr>
            </w:pPr>
          </w:p>
        </w:tc>
        <w:tc>
          <w:tcPr>
            <w:tcW w:w="1619" w:type="dxa"/>
            <w:vAlign w:val="center"/>
          </w:tcPr>
          <w:p>
            <w:pPr>
              <w:jc w:val="center"/>
              <w:rPr>
                <w:rFonts w:ascii="宋体" w:hAnsi="宋体" w:cs="仿宋_GB2312"/>
                <w:color w:val="auto"/>
                <w:sz w:val="24"/>
                <w:szCs w:val="24"/>
              </w:rPr>
            </w:pPr>
          </w:p>
        </w:tc>
      </w:tr>
    </w:tbl>
    <w:p>
      <w:pPr>
        <w:spacing w:line="360" w:lineRule="auto"/>
        <w:ind w:left="942" w:hanging="939" w:hangingChars="390"/>
        <w:jc w:val="left"/>
        <w:rPr>
          <w:rFonts w:ascii="宋体" w:hAnsi="宋体" w:cs="Corbel"/>
          <w:color w:val="auto"/>
          <w:sz w:val="24"/>
          <w:szCs w:val="24"/>
        </w:rPr>
      </w:pPr>
      <w:r>
        <w:rPr>
          <w:rFonts w:hint="eastAsia" w:ascii="宋体" w:hAnsi="宋体" w:cs="Corbel"/>
          <w:color w:val="auto"/>
          <w:sz w:val="24"/>
          <w:szCs w:val="24"/>
        </w:rPr>
        <w:t>说明：1．投标人应按招标文件第三章“项目技术、服务及商务要求”中技术、服务要求</w:t>
      </w:r>
      <w:r>
        <w:rPr>
          <w:rFonts w:hint="eastAsia" w:hAnsi="宋体"/>
          <w:color w:val="auto"/>
          <w:sz w:val="24"/>
          <w:szCs w:val="24"/>
        </w:rPr>
        <w:t>“</w:t>
      </w:r>
      <w:r>
        <w:rPr>
          <w:rFonts w:hint="eastAsia" w:ascii="宋体" w:hAnsi="宋体"/>
          <w:color w:val="auto"/>
        </w:rPr>
        <w:t>★</w:t>
      </w:r>
      <w:r>
        <w:rPr>
          <w:rFonts w:hint="eastAsia" w:hAnsi="宋体"/>
          <w:color w:val="auto"/>
          <w:sz w:val="24"/>
          <w:szCs w:val="24"/>
        </w:rPr>
        <w:t>”号</w:t>
      </w:r>
      <w:r>
        <w:rPr>
          <w:rFonts w:hint="eastAsia" w:ascii="宋体" w:hAnsi="宋体" w:cs="Corbel"/>
          <w:color w:val="auto"/>
          <w:sz w:val="24"/>
          <w:szCs w:val="24"/>
        </w:rPr>
        <w:t>条款进行逐项说明是否满足要求，如有偏离,投标人应详细说明。未按照要求填写此表或仅注明“符合”、“满足”的，</w:t>
      </w:r>
      <w:r>
        <w:rPr>
          <w:rFonts w:hint="eastAsia" w:ascii="宋体" w:hAnsi="宋体"/>
          <w:color w:val="auto"/>
          <w:sz w:val="24"/>
          <w:szCs w:val="24"/>
        </w:rPr>
        <w:t>导致的后果由投标人自行承担。</w:t>
      </w:r>
    </w:p>
    <w:p>
      <w:pPr>
        <w:spacing w:line="360" w:lineRule="auto"/>
        <w:ind w:left="1010" w:leftChars="306" w:hanging="365" w:hangingChars="152"/>
        <w:jc w:val="left"/>
        <w:rPr>
          <w:rFonts w:ascii="宋体" w:hAnsi="宋体" w:cs="Corbel"/>
          <w:color w:val="auto"/>
          <w:sz w:val="24"/>
          <w:szCs w:val="24"/>
        </w:rPr>
      </w:pPr>
      <w:r>
        <w:rPr>
          <w:rFonts w:hint="eastAsia" w:ascii="宋体" w:hAnsi="宋体" w:cs="Corbel"/>
          <w:color w:val="auto"/>
          <w:sz w:val="24"/>
          <w:szCs w:val="24"/>
        </w:rPr>
        <w:t>2．投标人提供的相关证明文件对应的页码填写到上表“投标文件对应的页码”中。如未提供页码或内容页码完全不一致的，</w:t>
      </w:r>
      <w:r>
        <w:rPr>
          <w:rFonts w:hint="eastAsia" w:ascii="宋体" w:hAnsi="宋体"/>
          <w:color w:val="auto"/>
          <w:sz w:val="24"/>
          <w:szCs w:val="24"/>
        </w:rPr>
        <w:t>导致的后果由投标人自行承担。</w:t>
      </w:r>
    </w:p>
    <w:bookmarkEnd w:id="263"/>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color w:val="auto"/>
        </w:rPr>
      </w:pPr>
      <w:r>
        <w:rPr>
          <w:rFonts w:hint="eastAsia" w:ascii="宋体" w:hAnsi="宋体"/>
          <w:b/>
          <w:bCs/>
          <w:color w:val="auto"/>
          <w:sz w:val="24"/>
          <w:szCs w:val="21"/>
        </w:rPr>
        <w:t>投标</w:t>
      </w:r>
      <w:r>
        <w:rPr>
          <w:rFonts w:hint="eastAsia" w:hAnsi="宋体"/>
          <w:b/>
          <w:bCs/>
          <w:color w:val="auto"/>
          <w:sz w:val="24"/>
        </w:rPr>
        <w:t>时间：</w:t>
      </w:r>
    </w:p>
    <w:p>
      <w:pPr>
        <w:rPr>
          <w:color w:val="auto"/>
        </w:rPr>
      </w:pPr>
      <w:r>
        <w:rPr>
          <w:color w:val="auto"/>
        </w:rPr>
        <w:br w:type="page"/>
      </w:r>
    </w:p>
    <w:p>
      <w:pPr>
        <w:pStyle w:val="4"/>
        <w:numPr>
          <w:ilvl w:val="0"/>
          <w:numId w:val="53"/>
        </w:numPr>
        <w:spacing w:before="100" w:beforeAutospacing="1" w:after="158" w:afterLines="50" w:line="360" w:lineRule="auto"/>
        <w:jc w:val="left"/>
        <w:rPr>
          <w:rFonts w:ascii="宋体" w:hAnsi="宋体"/>
          <w:color w:val="auto"/>
        </w:rPr>
      </w:pPr>
      <w:bookmarkStart w:id="264" w:name="_Toc494665971"/>
      <w:bookmarkStart w:id="265" w:name="_Toc494702291"/>
      <w:bookmarkStart w:id="266" w:name="_Toc494745338"/>
      <w:bookmarkStart w:id="267" w:name="_Toc494665574"/>
      <w:bookmarkStart w:id="268" w:name="_Toc494665021"/>
      <w:bookmarkStart w:id="269" w:name="_Toc494721121"/>
      <w:r>
        <w:rPr>
          <w:rFonts w:hint="eastAsia" w:ascii="宋体" w:hAnsi="宋体"/>
          <w:color w:val="auto"/>
        </w:rPr>
        <w:t xml:space="preserve">       </w:t>
      </w:r>
      <w:bookmarkStart w:id="270" w:name="_Toc29047"/>
      <w:r>
        <w:rPr>
          <w:rFonts w:hint="eastAsia" w:ascii="宋体" w:hAnsi="宋体"/>
          <w:color w:val="auto"/>
        </w:rPr>
        <w:t>技术、服务评议对照表</w:t>
      </w:r>
      <w:bookmarkEnd w:id="264"/>
      <w:bookmarkEnd w:id="265"/>
      <w:bookmarkEnd w:id="266"/>
      <w:bookmarkEnd w:id="267"/>
      <w:bookmarkEnd w:id="268"/>
      <w:bookmarkEnd w:id="269"/>
      <w:bookmarkEnd w:id="270"/>
    </w:p>
    <w:p>
      <w:pPr>
        <w:spacing w:line="360" w:lineRule="auto"/>
        <w:jc w:val="left"/>
        <w:rPr>
          <w:rFonts w:hAnsi="宋体"/>
          <w:b/>
          <w:color w:val="auto"/>
          <w:sz w:val="24"/>
        </w:rPr>
      </w:pPr>
      <w:r>
        <w:rPr>
          <w:rFonts w:hint="eastAsia" w:hAnsi="宋体"/>
          <w:b/>
          <w:color w:val="auto"/>
          <w:sz w:val="24"/>
        </w:rPr>
        <w:t>投标人：</w:t>
      </w:r>
    </w:p>
    <w:p>
      <w:pPr>
        <w:spacing w:line="360" w:lineRule="auto"/>
        <w:jc w:val="left"/>
        <w:rPr>
          <w:rFonts w:hAnsi="宋体"/>
          <w:b/>
          <w:color w:val="auto"/>
          <w:sz w:val="24"/>
        </w:rPr>
      </w:pPr>
      <w:r>
        <w:rPr>
          <w:rFonts w:hint="eastAsia" w:ascii="宋体" w:hAnsi="宋体"/>
          <w:b/>
          <w:color w:val="auto"/>
          <w:sz w:val="24"/>
          <w:szCs w:val="21"/>
        </w:rPr>
        <w:t>项目编号：</w:t>
      </w:r>
      <w:r>
        <w:rPr>
          <w:rFonts w:hint="eastAsia" w:ascii="宋体" w:hAnsi="宋体"/>
          <w:b/>
          <w:bCs/>
          <w:color w:val="auto"/>
          <w:sz w:val="24"/>
          <w:szCs w:val="21"/>
        </w:rPr>
        <w:t xml:space="preserve">                所投包号：</w:t>
      </w:r>
    </w:p>
    <w:tbl>
      <w:tblPr>
        <w:tblStyle w:val="31"/>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9" w:type="dxa"/>
            <w:shd w:val="clear" w:color="auto" w:fill="F2F2F2"/>
            <w:vAlign w:val="center"/>
          </w:tcPr>
          <w:p>
            <w:pPr>
              <w:ind w:left="-37" w:leftChars="-18" w:right="-48" w:rightChars="-23"/>
              <w:jc w:val="center"/>
              <w:rPr>
                <w:rFonts w:ascii="宋体" w:hAnsi="宋体" w:cs="仿宋_GB2312"/>
                <w:color w:val="auto"/>
                <w:sz w:val="24"/>
                <w:szCs w:val="24"/>
              </w:rPr>
            </w:pPr>
            <w:r>
              <w:rPr>
                <w:rFonts w:hint="eastAsia" w:ascii="宋体" w:hAnsi="宋体" w:cs="仿宋_GB2312"/>
                <w:color w:val="auto"/>
                <w:sz w:val="24"/>
                <w:szCs w:val="24"/>
              </w:rPr>
              <w:t>序号</w:t>
            </w:r>
          </w:p>
        </w:tc>
        <w:tc>
          <w:tcPr>
            <w:tcW w:w="2389"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招标文件技术、服务评分标准</w:t>
            </w:r>
          </w:p>
        </w:tc>
        <w:tc>
          <w:tcPr>
            <w:tcW w:w="3227"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投标响应内容对应简述</w:t>
            </w:r>
          </w:p>
        </w:tc>
        <w:tc>
          <w:tcPr>
            <w:tcW w:w="1256" w:type="dxa"/>
            <w:shd w:val="clear" w:color="auto" w:fill="F2F2F2"/>
            <w:vAlign w:val="center"/>
          </w:tcPr>
          <w:p>
            <w:pPr>
              <w:jc w:val="center"/>
              <w:rPr>
                <w:rFonts w:ascii="宋体" w:hAnsi="宋体" w:cs="仿宋_GB2312"/>
                <w:color w:val="auto"/>
                <w:sz w:val="24"/>
                <w:szCs w:val="24"/>
              </w:rPr>
            </w:pPr>
            <w:r>
              <w:rPr>
                <w:rFonts w:hint="eastAsia" w:ascii="宋体" w:hAnsi="宋体" w:cs="仿宋_GB2312"/>
                <w:color w:val="auto"/>
                <w:sz w:val="24"/>
                <w:szCs w:val="24"/>
              </w:rPr>
              <w:t>偏离说明</w:t>
            </w:r>
          </w:p>
        </w:tc>
        <w:tc>
          <w:tcPr>
            <w:tcW w:w="1983" w:type="dxa"/>
            <w:shd w:val="clear" w:color="auto" w:fill="F2F2F2"/>
          </w:tcPr>
          <w:p>
            <w:pPr>
              <w:jc w:val="center"/>
              <w:rPr>
                <w:rFonts w:ascii="宋体" w:hAnsi="宋体" w:cs="仿宋_GB2312"/>
                <w:color w:val="auto"/>
                <w:sz w:val="24"/>
                <w:szCs w:val="24"/>
              </w:rPr>
            </w:pPr>
            <w:r>
              <w:rPr>
                <w:rFonts w:hint="eastAsia" w:ascii="宋体" w:hAnsi="宋体" w:cs="仿宋_GB2312"/>
                <w:color w:val="auto"/>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1</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2</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3</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4</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5</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6</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color w:val="auto"/>
                <w:sz w:val="24"/>
                <w:szCs w:val="24"/>
              </w:rPr>
            </w:pPr>
            <w:r>
              <w:rPr>
                <w:rFonts w:hint="eastAsia" w:ascii="宋体" w:hAnsi="宋体" w:cs="仿宋_GB2312"/>
                <w:color w:val="auto"/>
                <w:sz w:val="24"/>
                <w:szCs w:val="24"/>
              </w:rPr>
              <w:t>…</w:t>
            </w:r>
          </w:p>
        </w:tc>
        <w:tc>
          <w:tcPr>
            <w:tcW w:w="2389" w:type="dxa"/>
            <w:vAlign w:val="center"/>
          </w:tcPr>
          <w:p>
            <w:pPr>
              <w:jc w:val="center"/>
              <w:rPr>
                <w:rFonts w:ascii="宋体" w:hAnsi="宋体" w:cs="仿宋_GB2312"/>
                <w:color w:val="auto"/>
                <w:sz w:val="24"/>
                <w:szCs w:val="24"/>
              </w:rPr>
            </w:pPr>
          </w:p>
        </w:tc>
        <w:tc>
          <w:tcPr>
            <w:tcW w:w="3227" w:type="dxa"/>
            <w:vAlign w:val="center"/>
          </w:tcPr>
          <w:p>
            <w:pPr>
              <w:jc w:val="center"/>
              <w:rPr>
                <w:rFonts w:ascii="宋体" w:hAnsi="宋体" w:cs="仿宋_GB2312"/>
                <w:color w:val="auto"/>
                <w:sz w:val="24"/>
                <w:szCs w:val="24"/>
              </w:rPr>
            </w:pPr>
          </w:p>
        </w:tc>
        <w:tc>
          <w:tcPr>
            <w:tcW w:w="1256" w:type="dxa"/>
            <w:vAlign w:val="center"/>
          </w:tcPr>
          <w:p>
            <w:pPr>
              <w:jc w:val="center"/>
              <w:rPr>
                <w:rFonts w:ascii="宋体" w:hAnsi="宋体" w:cs="仿宋_GB2312"/>
                <w:color w:val="auto"/>
                <w:sz w:val="24"/>
                <w:szCs w:val="24"/>
              </w:rPr>
            </w:pPr>
          </w:p>
        </w:tc>
        <w:tc>
          <w:tcPr>
            <w:tcW w:w="1983" w:type="dxa"/>
            <w:vAlign w:val="center"/>
          </w:tcPr>
          <w:p>
            <w:pPr>
              <w:jc w:val="center"/>
              <w:rPr>
                <w:rFonts w:ascii="宋体" w:hAnsi="宋体" w:cs="仿宋_GB2312"/>
                <w:color w:val="auto"/>
                <w:sz w:val="24"/>
                <w:szCs w:val="24"/>
              </w:rPr>
            </w:pPr>
          </w:p>
        </w:tc>
      </w:tr>
    </w:tbl>
    <w:p>
      <w:pPr>
        <w:spacing w:line="360" w:lineRule="auto"/>
        <w:ind w:left="1099" w:hanging="1096" w:hangingChars="455"/>
        <w:jc w:val="left"/>
        <w:rPr>
          <w:rFonts w:ascii="宋体" w:hAnsi="宋体" w:cs="Corbel"/>
          <w:color w:val="auto"/>
          <w:sz w:val="24"/>
          <w:szCs w:val="24"/>
        </w:rPr>
      </w:pPr>
      <w:r>
        <w:rPr>
          <w:rFonts w:hint="eastAsia" w:ascii="宋体" w:hAnsi="宋体" w:cs="Corbel"/>
          <w:color w:val="auto"/>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color w:val="auto"/>
          <w:sz w:val="24"/>
          <w:szCs w:val="24"/>
        </w:rPr>
        <w:t>导致的后果由投标人自行承担。</w:t>
      </w:r>
    </w:p>
    <w:p>
      <w:pPr>
        <w:spacing w:line="360" w:lineRule="auto"/>
        <w:ind w:left="1010" w:leftChars="306" w:hanging="365" w:hangingChars="152"/>
        <w:jc w:val="left"/>
        <w:rPr>
          <w:rFonts w:ascii="宋体" w:hAnsi="宋体" w:cs="Corbel"/>
          <w:color w:val="auto"/>
          <w:sz w:val="24"/>
          <w:szCs w:val="24"/>
        </w:rPr>
      </w:pPr>
      <w:r>
        <w:rPr>
          <w:rFonts w:hint="eastAsia" w:ascii="宋体" w:hAnsi="宋体" w:cs="Corbel"/>
          <w:color w:val="auto"/>
          <w:sz w:val="24"/>
          <w:szCs w:val="24"/>
        </w:rPr>
        <w:t>2．投标人提供的相关证明文件对应的页码填写到上表“投标文件对应的页码”中。如未提供页码或内容页码完全不一致的，</w:t>
      </w:r>
      <w:r>
        <w:rPr>
          <w:rFonts w:hint="eastAsia" w:ascii="宋体" w:hAnsi="宋体"/>
          <w:color w:val="auto"/>
          <w:sz w:val="24"/>
          <w:szCs w:val="24"/>
        </w:rPr>
        <w:t>导致的后果由投标人自行承担。</w:t>
      </w:r>
    </w:p>
    <w:p>
      <w:pPr>
        <w:adjustRightInd w:val="0"/>
        <w:snapToGrid w:val="0"/>
        <w:spacing w:line="300" w:lineRule="auto"/>
        <w:ind w:left="725" w:hanging="723" w:hangingChars="300"/>
        <w:rPr>
          <w:rFonts w:ascii="宋体" w:hAnsi="宋体" w:cs="Corbel"/>
          <w:color w:val="auto"/>
          <w:sz w:val="24"/>
          <w:szCs w:val="24"/>
        </w:rPr>
      </w:pPr>
    </w:p>
    <w:p>
      <w:pPr>
        <w:spacing w:before="100" w:beforeAutospacing="1" w:after="100" w:afterAutospacing="1" w:line="360" w:lineRule="auto"/>
        <w:ind w:firstLine="3329" w:firstLineChars="1382"/>
        <w:rPr>
          <w:rFonts w:hAnsi="宋体"/>
          <w:b/>
          <w:bCs/>
          <w:color w:val="auto"/>
          <w:sz w:val="24"/>
          <w:u w:val="single"/>
        </w:rPr>
      </w:pPr>
      <w:r>
        <w:rPr>
          <w:rFonts w:hint="eastAsia" w:hAnsi="宋体"/>
          <w:b/>
          <w:bCs/>
          <w:color w:val="auto"/>
          <w:sz w:val="24"/>
        </w:rPr>
        <w:t>投标人（公章）：</w:t>
      </w:r>
    </w:p>
    <w:p>
      <w:pPr>
        <w:spacing w:before="100" w:beforeAutospacing="1" w:after="100" w:afterAutospacing="1" w:line="360" w:lineRule="auto"/>
        <w:ind w:firstLine="3329" w:firstLineChars="1382"/>
        <w:rPr>
          <w:rFonts w:hAnsi="宋体"/>
          <w:b/>
          <w:bCs/>
          <w:color w:val="auto"/>
          <w:sz w:val="24"/>
          <w:u w:val="single"/>
        </w:rPr>
      </w:pPr>
      <w:r>
        <w:rPr>
          <w:rFonts w:hint="eastAsia" w:ascii="宋体" w:hAnsi="宋体"/>
          <w:b/>
          <w:bCs/>
          <w:color w:val="auto"/>
          <w:sz w:val="24"/>
          <w:szCs w:val="21"/>
        </w:rPr>
        <w:t>投标人</w:t>
      </w:r>
      <w:r>
        <w:rPr>
          <w:rFonts w:hint="eastAsia" w:hAnsi="宋体"/>
          <w:b/>
          <w:bCs/>
          <w:color w:val="auto"/>
          <w:sz w:val="24"/>
        </w:rPr>
        <w:t>授权代表（签字）：</w:t>
      </w:r>
    </w:p>
    <w:p>
      <w:pPr>
        <w:spacing w:before="100" w:beforeAutospacing="1" w:after="100" w:afterAutospacing="1" w:line="360" w:lineRule="auto"/>
        <w:ind w:firstLine="3329" w:firstLineChars="1382"/>
        <w:rPr>
          <w:rFonts w:hAnsi="宋体"/>
          <w:b/>
          <w:bCs/>
          <w:color w:val="auto"/>
          <w:sz w:val="24"/>
        </w:rPr>
      </w:pPr>
      <w:r>
        <w:rPr>
          <w:rFonts w:hint="eastAsia" w:ascii="宋体" w:hAnsi="宋体"/>
          <w:b/>
          <w:bCs/>
          <w:color w:val="auto"/>
          <w:sz w:val="24"/>
          <w:szCs w:val="21"/>
        </w:rPr>
        <w:t>投标</w:t>
      </w:r>
      <w:r>
        <w:rPr>
          <w:rFonts w:hint="eastAsia" w:hAnsi="宋体"/>
          <w:b/>
          <w:bCs/>
          <w:color w:val="auto"/>
          <w:sz w:val="24"/>
        </w:rPr>
        <w:t xml:space="preserve">时间： </w:t>
      </w:r>
    </w:p>
    <w:p>
      <w:pPr>
        <w:spacing w:before="100" w:beforeAutospacing="1" w:after="100" w:afterAutospacing="1" w:line="360" w:lineRule="auto"/>
        <w:ind w:firstLine="3329" w:firstLineChars="1382"/>
        <w:rPr>
          <w:rFonts w:hAnsi="宋体"/>
          <w:b/>
          <w:bCs/>
          <w:color w:val="auto"/>
          <w:sz w:val="24"/>
        </w:rPr>
      </w:pPr>
    </w:p>
    <w:p>
      <w:pPr>
        <w:spacing w:before="100" w:beforeAutospacing="1" w:after="100" w:afterAutospacing="1" w:line="360" w:lineRule="auto"/>
        <w:ind w:firstLine="3329" w:firstLineChars="1382"/>
        <w:rPr>
          <w:rFonts w:hAnsi="宋体"/>
          <w:b/>
          <w:bCs/>
          <w:color w:val="auto"/>
          <w:sz w:val="24"/>
        </w:rPr>
      </w:pPr>
    </w:p>
    <w:p>
      <w:pPr>
        <w:spacing w:before="100" w:beforeAutospacing="1" w:after="100" w:afterAutospacing="1" w:line="360" w:lineRule="auto"/>
        <w:ind w:firstLine="3329" w:firstLineChars="1382"/>
        <w:rPr>
          <w:rFonts w:hAnsi="宋体"/>
          <w:b/>
          <w:bCs/>
          <w:color w:val="auto"/>
          <w:sz w:val="24"/>
        </w:rPr>
      </w:pPr>
    </w:p>
    <w:p>
      <w:pPr>
        <w:pStyle w:val="4"/>
        <w:numPr>
          <w:ilvl w:val="0"/>
          <w:numId w:val="53"/>
        </w:numPr>
        <w:spacing w:before="100" w:beforeAutospacing="1" w:after="158" w:afterLines="50" w:line="360" w:lineRule="auto"/>
        <w:jc w:val="left"/>
        <w:rPr>
          <w:rFonts w:ascii="宋体" w:hAnsi="宋体"/>
          <w:color w:val="auto"/>
        </w:rPr>
      </w:pPr>
      <w:bookmarkStart w:id="271" w:name="_Toc5096281"/>
      <w:bookmarkStart w:id="272" w:name="_Toc3472783"/>
      <w:r>
        <w:rPr>
          <w:rFonts w:hint="eastAsia" w:ascii="宋体" w:hAnsi="宋体"/>
          <w:color w:val="auto"/>
        </w:rPr>
        <w:t xml:space="preserve">         </w:t>
      </w:r>
      <w:bookmarkStart w:id="273" w:name="_Toc1330"/>
      <w:r>
        <w:rPr>
          <w:rFonts w:hint="eastAsia" w:ascii="宋体" w:hAnsi="宋体"/>
          <w:color w:val="auto"/>
        </w:rPr>
        <w:t>投标人信用承诺书</w:t>
      </w:r>
      <w:bookmarkEnd w:id="271"/>
      <w:bookmarkEnd w:id="272"/>
      <w:bookmarkEnd w:id="273"/>
    </w:p>
    <w:p>
      <w:pPr>
        <w:rPr>
          <w:rFonts w:ascii="宋体" w:hAnsi="宋体"/>
          <w:color w:val="auto"/>
          <w:sz w:val="24"/>
          <w:szCs w:val="24"/>
        </w:rPr>
      </w:pPr>
      <w:r>
        <w:rPr>
          <w:rFonts w:hint="eastAsia" w:ascii="宋体" w:hAnsi="宋体"/>
          <w:color w:val="auto"/>
          <w:sz w:val="24"/>
          <w:szCs w:val="24"/>
        </w:rPr>
        <w:t>市场主体名称：</w:t>
      </w:r>
    </w:p>
    <w:p>
      <w:pPr>
        <w:spacing w:line="540" w:lineRule="exact"/>
        <w:rPr>
          <w:rFonts w:ascii="宋体" w:hAnsi="宋体" w:cs="黑体"/>
          <w:color w:val="auto"/>
          <w:sz w:val="24"/>
          <w:szCs w:val="24"/>
        </w:rPr>
      </w:pPr>
      <w:r>
        <w:rPr>
          <w:rFonts w:hint="eastAsia" w:ascii="宋体" w:hAnsi="宋体" w:cs="黑体"/>
          <w:color w:val="auto"/>
          <w:sz w:val="24"/>
          <w:szCs w:val="24"/>
        </w:rPr>
        <w:t>证件类型：统一社会信用代码</w:t>
      </w:r>
    </w:p>
    <w:p>
      <w:pPr>
        <w:spacing w:line="540" w:lineRule="exact"/>
        <w:rPr>
          <w:rFonts w:ascii="宋体" w:hAnsi="宋体" w:cs="黑体"/>
          <w:color w:val="auto"/>
          <w:sz w:val="24"/>
          <w:szCs w:val="24"/>
        </w:rPr>
      </w:pPr>
      <w:r>
        <w:rPr>
          <w:rFonts w:hint="eastAsia" w:ascii="宋体" w:hAnsi="宋体" w:cs="黑体"/>
          <w:color w:val="auto"/>
          <w:sz w:val="24"/>
          <w:szCs w:val="24"/>
        </w:rPr>
        <w:t>证件号码：</w:t>
      </w:r>
    </w:p>
    <w:p>
      <w:pPr>
        <w:spacing w:line="540" w:lineRule="exact"/>
        <w:rPr>
          <w:rFonts w:ascii="宋体" w:hAnsi="宋体" w:cs="黑体"/>
          <w:color w:val="auto"/>
          <w:sz w:val="24"/>
          <w:szCs w:val="24"/>
        </w:rPr>
      </w:pPr>
      <w:r>
        <w:rPr>
          <w:rFonts w:hint="eastAsia" w:ascii="宋体" w:hAnsi="宋体" w:cs="黑体"/>
          <w:color w:val="auto"/>
          <w:sz w:val="24"/>
          <w:szCs w:val="24"/>
        </w:rPr>
        <w:t>行政区划代码：</w:t>
      </w:r>
    </w:p>
    <w:p>
      <w:pPr>
        <w:spacing w:line="540" w:lineRule="exact"/>
        <w:rPr>
          <w:rFonts w:ascii="宋体" w:hAnsi="宋体" w:cs="黑体"/>
          <w:color w:val="auto"/>
          <w:sz w:val="24"/>
          <w:szCs w:val="24"/>
        </w:rPr>
      </w:pPr>
      <w:r>
        <w:rPr>
          <w:rFonts w:hint="eastAsia" w:ascii="宋体" w:hAnsi="宋体" w:cs="黑体"/>
          <w:color w:val="auto"/>
          <w:sz w:val="24"/>
          <w:szCs w:val="24"/>
        </w:rPr>
        <w:t>主管部门：</w:t>
      </w:r>
    </w:p>
    <w:p>
      <w:pPr>
        <w:spacing w:line="540" w:lineRule="exact"/>
        <w:rPr>
          <w:rFonts w:ascii="宋体" w:hAnsi="宋体" w:cs="黑体"/>
          <w:color w:val="auto"/>
          <w:sz w:val="24"/>
          <w:szCs w:val="24"/>
        </w:rPr>
      </w:pPr>
      <w:r>
        <w:rPr>
          <w:rFonts w:hint="eastAsia" w:ascii="宋体" w:hAnsi="宋体" w:cs="黑体"/>
          <w:color w:val="auto"/>
          <w:sz w:val="24"/>
          <w:szCs w:val="24"/>
        </w:rPr>
        <w:t>承诺内容：</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为维护公开、公平、公正的政府采购市场秩序，树立诚实守信的政府采购供应商形象，本单位自愿做出以下承诺：</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一、承诺本单位严格遵守国家法律、法规和规章，全面履行应尽的责任和义务，全面做到履约守信，具备《政府采购法》第二十二条第一款规定的条件。</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二、承诺本单位提供给注册登记部门、行业管理部门、司法部门、行业组织以及在政府采购活动中提交的所有资料均合法、真实、有效，无任何伪造、修改、虚假成份，并对所提供资料的真实性负责；</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三、承诺本单位严格依法开展生产经营活动，主动接受行业监管，自愿接受依法开展的日常检查；违法失信经营后将自愿接受约束和惩戒，并依法承担相应责任；</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四、承诺本单位自觉接受行政管理部门、行业组织、社会公众、新闻舆论的监督；</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五、承诺本单位将按照《湖北省社会信用信息管理条例》要求，向社会公示信用信息；</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六、承诺本单位自我约束、自我管理，重合同、守信用，不制假售假、商标侵权、虚假宣传、违约毁约、恶意逃债、偷税漏税、价格欺诈、垄断和不正当竞争，维护经营者、消费者的合法权益；</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七、承诺本单位在信用中国（湖北）网站中无违法违规、较重或严重失信记录；</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八、承诺本单位提出政府采购质疑和投诉坚持依法依规、诚实信用原则，在全国范围12个月内没有三次以上查无实据的政府采购投诉；</w:t>
      </w:r>
    </w:p>
    <w:p>
      <w:pPr>
        <w:spacing w:line="540" w:lineRule="exact"/>
        <w:ind w:firstLine="482" w:firstLineChars="200"/>
        <w:rPr>
          <w:rFonts w:ascii="宋体" w:hAnsi="宋体" w:cs="仿宋_GB2312"/>
          <w:color w:val="auto"/>
          <w:sz w:val="24"/>
          <w:szCs w:val="24"/>
          <w:u w:val="single"/>
        </w:rPr>
      </w:pPr>
      <w:r>
        <w:rPr>
          <w:rFonts w:hint="eastAsia" w:ascii="宋体" w:hAnsi="宋体" w:cs="仿宋_GB2312"/>
          <w:color w:val="auto"/>
          <w:sz w:val="24"/>
          <w:szCs w:val="24"/>
        </w:rPr>
        <w:t>九、根据政府采购相关法律法规的规定需要作出的其他承诺：</w:t>
      </w:r>
      <w:r>
        <w:rPr>
          <w:rFonts w:hint="eastAsia" w:ascii="宋体" w:hAnsi="宋体" w:cs="仿宋_GB2312"/>
          <w:color w:val="auto"/>
          <w:sz w:val="24"/>
          <w:szCs w:val="24"/>
          <w:u w:val="single"/>
        </w:rPr>
        <w:t xml:space="preserve">                                             </w:t>
      </w:r>
    </w:p>
    <w:p>
      <w:pPr>
        <w:spacing w:line="540" w:lineRule="exact"/>
        <w:rPr>
          <w:rFonts w:ascii="宋体" w:hAnsi="宋体" w:cs="仿宋_GB2312"/>
          <w:color w:val="auto"/>
          <w:sz w:val="24"/>
          <w:szCs w:val="24"/>
          <w:u w:val="single"/>
        </w:rPr>
      </w:pPr>
      <w:r>
        <w:rPr>
          <w:rFonts w:hint="eastAsia" w:ascii="宋体" w:hAnsi="宋体" w:cs="仿宋_GB2312"/>
          <w:color w:val="auto"/>
          <w:sz w:val="24"/>
          <w:szCs w:val="24"/>
          <w:u w:val="single"/>
        </w:rPr>
        <w:t xml:space="preserve">                                                   </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十、承诺本单位若违背承诺约定，经查实，愿意接受行采购人管部门和信用管理部门相应的规定处罚，承担违约责任，并依法承担相应的法律责任。自愿按照《湖北省社会信用信息管理条例》规定，违背承诺约定行为作为失信信息，记录到省社会信用信息服务平台，并予公开。</w:t>
      </w:r>
    </w:p>
    <w:p>
      <w:pPr>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十一、承诺本单位同意将以上承诺事项上网公示。</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 xml:space="preserve"> </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 xml:space="preserve">                  承诺单位（盖章）：</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 xml:space="preserve">                  法定代表人（负责人）：</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 xml:space="preserve">                  承诺日期：</w:t>
      </w:r>
    </w:p>
    <w:p>
      <w:pPr>
        <w:overflowPunct w:val="0"/>
        <w:spacing w:line="540" w:lineRule="exact"/>
        <w:ind w:firstLine="482" w:firstLineChars="200"/>
        <w:rPr>
          <w:rFonts w:ascii="宋体" w:hAnsi="宋体" w:cs="仿宋_GB2312"/>
          <w:color w:val="auto"/>
          <w:sz w:val="24"/>
          <w:szCs w:val="24"/>
        </w:rPr>
      </w:pPr>
      <w:r>
        <w:rPr>
          <w:rFonts w:hint="eastAsia" w:ascii="宋体" w:hAnsi="宋体" w:cs="仿宋_GB2312"/>
          <w:color w:val="auto"/>
          <w:sz w:val="24"/>
          <w:szCs w:val="24"/>
        </w:rPr>
        <w:t xml:space="preserve"> </w:t>
      </w:r>
    </w:p>
    <w:p>
      <w:pPr>
        <w:overflowPunct w:val="0"/>
        <w:spacing w:line="540" w:lineRule="exact"/>
        <w:ind w:firstLine="482" w:firstLineChars="200"/>
        <w:rPr>
          <w:rFonts w:ascii="宋体" w:hAnsi="宋体"/>
          <w:color w:val="auto"/>
          <w:sz w:val="24"/>
          <w:szCs w:val="24"/>
        </w:rPr>
      </w:pPr>
      <w:r>
        <w:rPr>
          <w:rFonts w:hint="eastAsia" w:ascii="宋体" w:hAnsi="宋体" w:cs="仿宋_GB2312"/>
          <w:color w:val="auto"/>
          <w:sz w:val="24"/>
          <w:szCs w:val="24"/>
        </w:rPr>
        <w:t>注：法定代表人或负责人、主体名称发生变更的应当重新做出承诺。</w:t>
      </w:r>
    </w:p>
    <w:p>
      <w:pPr>
        <w:rPr>
          <w:rFonts w:ascii="宋体" w:hAnsi="宋体"/>
          <w:color w:val="auto"/>
          <w:sz w:val="24"/>
          <w:szCs w:val="24"/>
        </w:rPr>
      </w:pPr>
      <w:r>
        <w:rPr>
          <w:rFonts w:hint="eastAsia" w:ascii="宋体" w:hAnsi="宋体"/>
          <w:color w:val="auto"/>
          <w:sz w:val="24"/>
          <w:szCs w:val="24"/>
        </w:rPr>
        <w:t xml:space="preserve"> </w:t>
      </w:r>
    </w:p>
    <w:p>
      <w:pPr>
        <w:rPr>
          <w:color w:val="auto"/>
        </w:rPr>
      </w:pPr>
      <w:r>
        <w:rPr>
          <w:color w:val="auto"/>
        </w:rPr>
        <w:t xml:space="preserve"> </w:t>
      </w:r>
    </w:p>
    <w:p>
      <w:pPr>
        <w:rPr>
          <w:color w:val="auto"/>
        </w:rPr>
      </w:pPr>
      <w:r>
        <w:rPr>
          <w:color w:val="auto"/>
        </w:rPr>
        <w:t xml:space="preserve"> </w:t>
      </w:r>
    </w:p>
    <w:p>
      <w:pPr>
        <w:rPr>
          <w:color w:val="auto"/>
        </w:rPr>
      </w:pPr>
    </w:p>
    <w:p>
      <w:pPr>
        <w:rPr>
          <w:color w:val="auto"/>
        </w:rPr>
      </w:pPr>
    </w:p>
    <w:p>
      <w:pPr>
        <w:pStyle w:val="4"/>
        <w:spacing w:before="100" w:beforeAutospacing="1" w:after="158" w:afterLines="50" w:line="360" w:lineRule="auto"/>
        <w:jc w:val="left"/>
        <w:rPr>
          <w:color w:val="auto"/>
        </w:rPr>
      </w:pPr>
      <w:r>
        <w:rPr>
          <w:color w:val="auto"/>
        </w:rPr>
        <w:t xml:space="preserve"> </w:t>
      </w:r>
    </w:p>
    <w:sectPr>
      <w:pgSz w:w="11906" w:h="16838"/>
      <w:pgMar w:top="1134" w:right="1191" w:bottom="1134" w:left="1191" w:header="851" w:footer="624" w:gutter="0"/>
      <w:cols w:space="0" w:num="1"/>
      <w:docGrid w:type="linesAndChars" w:linePitch="317" w:charSpace="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S UI Gothic">
    <w:panose1 w:val="020B0600070205080204"/>
    <w:charset w:val="80"/>
    <w:family w:val="swiss"/>
    <w:pitch w:val="default"/>
    <w:sig w:usb0="E00002FF" w:usb1="6AC7FDFB" w:usb2="08000012" w:usb3="00000000" w:csb0="4002009F" w:csb1="DFD7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 w:val="clear" w:pos="8306"/>
      </w:tabs>
      <w:rPr>
        <w:rFonts w:ascii="宋体" w:hAnsi="宋体"/>
        <w:b/>
        <w:bCs/>
      </w:rPr>
    </w:pPr>
    <w:r>
      <w:rPr>
        <w:rFonts w:hint="eastAsia" w:ascii="宋体" w:hAnsi="宋体"/>
        <w:bCs/>
      </w:rPr>
      <w:t>湖北省政府采购中心编制</w:t>
    </w:r>
    <w:r>
      <w:rPr>
        <w:rFonts w:ascii="宋体" w:hAnsi="宋体"/>
        <w:bCs/>
      </w:rPr>
      <w:t>V3.0.2017.0930</w:t>
    </w:r>
  </w:p>
  <w:p>
    <w:pPr>
      <w:pStyle w:val="19"/>
      <w:tabs>
        <w:tab w:val="clear" w:pos="4153"/>
        <w:tab w:val="clear" w:pos="8306"/>
      </w:tabs>
      <w:jc w:val="center"/>
      <w:rPr>
        <w:rFonts w:ascii="宋体" w:hAnsi="宋体"/>
      </w:rPr>
    </w:pPr>
    <w:r>
      <w:rPr>
        <w:rFonts w:ascii="宋体" w:hAnsi="宋体"/>
        <w:b/>
        <w:bCs/>
      </w:rPr>
      <w:fldChar w:fldCharType="begin"/>
    </w:r>
    <w:r>
      <w:rPr>
        <w:rFonts w:ascii="宋体" w:hAnsi="宋体"/>
        <w:b/>
        <w:bCs/>
      </w:rPr>
      <w:instrText xml:space="preserve">PAGE</w:instrText>
    </w:r>
    <w:r>
      <w:rPr>
        <w:rFonts w:ascii="宋体" w:hAnsi="宋体"/>
        <w:b/>
        <w:bCs/>
      </w:rPr>
      <w:fldChar w:fldCharType="separate"/>
    </w:r>
    <w:r>
      <w:rPr>
        <w:rFonts w:ascii="宋体" w:hAnsi="宋体"/>
        <w:b/>
        <w:bCs/>
      </w:rPr>
      <w:t>22</w:t>
    </w:r>
    <w:r>
      <w:rPr>
        <w:rFonts w:ascii="宋体" w:hAnsi="宋体"/>
        <w:b/>
        <w:bCs/>
      </w:rPr>
      <w:fldChar w:fldCharType="end"/>
    </w:r>
    <w:r>
      <w:rPr>
        <w:rFonts w:ascii="宋体" w:hAnsi="宋体"/>
        <w:b/>
        <w:lang w:val="zh-CN"/>
      </w:rPr>
      <w:t xml:space="preserve"> / </w:t>
    </w:r>
    <w:r>
      <w:rPr>
        <w:rFonts w:ascii="宋体" w:hAnsi="宋体"/>
        <w:b/>
        <w:bCs/>
      </w:rPr>
      <w:fldChar w:fldCharType="begin"/>
    </w:r>
    <w:r>
      <w:rPr>
        <w:rFonts w:ascii="宋体" w:hAnsi="宋体"/>
        <w:b/>
        <w:bCs/>
      </w:rPr>
      <w:instrText xml:space="preserve">NUMPAGES</w:instrText>
    </w:r>
    <w:r>
      <w:rPr>
        <w:rFonts w:ascii="宋体" w:hAnsi="宋体"/>
        <w:b/>
        <w:bCs/>
      </w:rPr>
      <w:fldChar w:fldCharType="separate"/>
    </w:r>
    <w:r>
      <w:rPr>
        <w:rFonts w:ascii="宋体" w:hAnsi="宋体"/>
        <w:b/>
        <w:bCs/>
      </w:rPr>
      <w:t>60</w:t>
    </w:r>
    <w:r>
      <w:rPr>
        <w:rFonts w:ascii="宋体" w:hAnsi="宋体"/>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p>
                </w:txbxContent>
              </v:textbox>
            </v:shape>
          </w:pict>
        </mc:Fallback>
      </mc:AlternateConten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153"/>
      </w:tabs>
      <w:jc w:val="left"/>
      <w:rPr>
        <w:rFonts w:ascii="宋体" w:hAnsi="宋体"/>
        <w:b/>
      </w:rPr>
    </w:pPr>
    <w:r>
      <w:rPr>
        <w:rFonts w:hint="eastAsia" w:ascii="宋体" w:hAnsi="宋体"/>
        <w:b/>
      </w:rPr>
      <w:t>项目名称：XXXXXXXXXXXX项目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ED0DD"/>
    <w:multiLevelType w:val="singleLevel"/>
    <w:tmpl w:val="87CED0DD"/>
    <w:lvl w:ilvl="0" w:tentative="0">
      <w:start w:val="1"/>
      <w:numFmt w:val="decimal"/>
      <w:suff w:val="nothing"/>
      <w:lvlText w:val="%1、"/>
      <w:lvlJc w:val="left"/>
    </w:lvl>
  </w:abstractNum>
  <w:abstractNum w:abstractNumId="1">
    <w:nsid w:val="C3221ECA"/>
    <w:multiLevelType w:val="singleLevel"/>
    <w:tmpl w:val="C3221ECA"/>
    <w:lvl w:ilvl="0" w:tentative="0">
      <w:start w:val="8"/>
      <w:numFmt w:val="chineseCounting"/>
      <w:suff w:val="nothing"/>
      <w:lvlText w:val="（%1）"/>
      <w:lvlJc w:val="left"/>
      <w:rPr>
        <w:rFonts w:hint="eastAsia"/>
      </w:rPr>
    </w:lvl>
  </w:abstractNum>
  <w:abstractNum w:abstractNumId="2">
    <w:nsid w:val="D2B32E91"/>
    <w:multiLevelType w:val="multilevel"/>
    <w:tmpl w:val="D2B32E91"/>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850" w:hanging="708"/>
      </w:pPr>
      <w:rPr>
        <w:rFonts w:hint="default" w:ascii="宋体" w:hAnsi="宋体" w:eastAsia="宋体" w:cs="宋体"/>
      </w:rPr>
    </w:lvl>
    <w:lvl w:ilvl="3" w:tentative="0">
      <w:start w:val="1"/>
      <w:numFmt w:val="decimal"/>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ascii="宋体" w:hAnsi="宋体" w:eastAsia="宋体" w:cs="宋体"/>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00000005"/>
    <w:multiLevelType w:val="multilevel"/>
    <w:tmpl w:val="00000005"/>
    <w:lvl w:ilvl="0" w:tentative="0">
      <w:start w:val="1"/>
      <w:numFmt w:val="decimal"/>
      <w:lvlText w:val="4.6.%1 "/>
      <w:lvlJc w:val="left"/>
      <w:pPr>
        <w:tabs>
          <w:tab w:val="left" w:pos="0"/>
        </w:tabs>
        <w:ind w:left="1271" w:hanging="420"/>
      </w:pPr>
      <w:rPr>
        <w:rFonts w:hint="default" w:ascii="楷体" w:hAnsi="楷体" w:eastAsia="楷体"/>
        <w:b w:val="0"/>
        <w:strike w:val="0"/>
        <w:dstrike w:val="0"/>
        <w:color w:val="auto"/>
      </w:rPr>
    </w:lvl>
    <w:lvl w:ilvl="1" w:tentative="0">
      <w:start w:val="1"/>
      <w:numFmt w:val="lowerLetter"/>
      <w:lvlText w:val="%2)"/>
      <w:lvlJc w:val="left"/>
      <w:pPr>
        <w:tabs>
          <w:tab w:val="left" w:pos="0"/>
        </w:tabs>
        <w:ind w:left="1691" w:hanging="420"/>
      </w:pPr>
    </w:lvl>
    <w:lvl w:ilvl="2" w:tentative="0">
      <w:start w:val="1"/>
      <w:numFmt w:val="lowerRoman"/>
      <w:lvlText w:val="%3."/>
      <w:lvlJc w:val="right"/>
      <w:pPr>
        <w:tabs>
          <w:tab w:val="left" w:pos="0"/>
        </w:tabs>
        <w:ind w:left="2111" w:hanging="420"/>
      </w:pPr>
    </w:lvl>
    <w:lvl w:ilvl="3" w:tentative="0">
      <w:start w:val="1"/>
      <w:numFmt w:val="decimal"/>
      <w:lvlText w:val="%4."/>
      <w:lvlJc w:val="left"/>
      <w:pPr>
        <w:tabs>
          <w:tab w:val="left" w:pos="0"/>
        </w:tabs>
        <w:ind w:left="2531" w:hanging="420"/>
      </w:pPr>
    </w:lvl>
    <w:lvl w:ilvl="4" w:tentative="0">
      <w:start w:val="1"/>
      <w:numFmt w:val="lowerLetter"/>
      <w:pStyle w:val="40"/>
      <w:lvlText w:val="%5)"/>
      <w:lvlJc w:val="left"/>
      <w:pPr>
        <w:tabs>
          <w:tab w:val="left" w:pos="0"/>
        </w:tabs>
        <w:ind w:left="2951" w:hanging="420"/>
      </w:pPr>
    </w:lvl>
    <w:lvl w:ilvl="5" w:tentative="0">
      <w:start w:val="1"/>
      <w:numFmt w:val="lowerRoman"/>
      <w:lvlText w:val="%6."/>
      <w:lvlJc w:val="right"/>
      <w:pPr>
        <w:tabs>
          <w:tab w:val="left" w:pos="0"/>
        </w:tabs>
        <w:ind w:left="3371" w:hanging="420"/>
      </w:pPr>
    </w:lvl>
    <w:lvl w:ilvl="6" w:tentative="0">
      <w:start w:val="1"/>
      <w:numFmt w:val="decimal"/>
      <w:lvlText w:val="%7."/>
      <w:lvlJc w:val="left"/>
      <w:pPr>
        <w:tabs>
          <w:tab w:val="left" w:pos="0"/>
        </w:tabs>
        <w:ind w:left="3791" w:hanging="420"/>
      </w:pPr>
    </w:lvl>
    <w:lvl w:ilvl="7" w:tentative="0">
      <w:start w:val="1"/>
      <w:numFmt w:val="lowerLetter"/>
      <w:lvlText w:val="%8)"/>
      <w:lvlJc w:val="left"/>
      <w:pPr>
        <w:tabs>
          <w:tab w:val="left" w:pos="0"/>
        </w:tabs>
        <w:ind w:left="4211" w:hanging="420"/>
      </w:pPr>
    </w:lvl>
    <w:lvl w:ilvl="8" w:tentative="0">
      <w:start w:val="1"/>
      <w:numFmt w:val="lowerRoman"/>
      <w:lvlText w:val="%9."/>
      <w:lvlJc w:val="right"/>
      <w:pPr>
        <w:tabs>
          <w:tab w:val="left" w:pos="0"/>
        </w:tabs>
        <w:ind w:left="4631" w:hanging="420"/>
      </w:pPr>
    </w:lvl>
  </w:abstractNum>
  <w:abstractNum w:abstractNumId="4">
    <w:nsid w:val="00000006"/>
    <w:multiLevelType w:val="multilevel"/>
    <w:tmpl w:val="00000006"/>
    <w:lvl w:ilvl="0" w:tentative="0">
      <w:start w:val="1"/>
      <w:numFmt w:val="chineseCountingThousand"/>
      <w:lvlText w:val="附件%1."/>
      <w:lvlJc w:val="left"/>
      <w:pPr>
        <w:ind w:left="988" w:hanging="420"/>
      </w:pPr>
      <w:rPr>
        <w:rFonts w:hint="eastAsia"/>
        <w:b w:val="0"/>
        <w:strike w:val="0"/>
        <w:color w:val="auto"/>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5">
    <w:nsid w:val="00000007"/>
    <w:multiLevelType w:val="multilevel"/>
    <w:tmpl w:val="00000007"/>
    <w:lvl w:ilvl="0" w:tentative="0">
      <w:start w:val="1"/>
      <w:numFmt w:val="decimal"/>
      <w:lvlText w:val="%1."/>
      <w:lvlJc w:val="left"/>
      <w:pPr>
        <w:ind w:left="420" w:hanging="420"/>
      </w:pPr>
      <w:rPr>
        <w:rFonts w:hint="default"/>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B"/>
    <w:multiLevelType w:val="multilevel"/>
    <w:tmpl w:val="000000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C"/>
    <w:multiLevelType w:val="multilevel"/>
    <w:tmpl w:val="0000000C"/>
    <w:lvl w:ilvl="0" w:tentative="0">
      <w:start w:val="1"/>
      <w:numFmt w:val="chineseCountingThousand"/>
      <w:pStyle w:val="8"/>
      <w:lvlText w:val="第%1章"/>
      <w:lvlJc w:val="left"/>
      <w:pPr>
        <w:ind w:left="1073" w:hanging="420"/>
      </w:pPr>
      <w:rPr>
        <w:rFonts w:hint="default"/>
        <w:b w:val="0"/>
        <w:strike w:val="0"/>
        <w:color w:val="auto"/>
      </w:rPr>
    </w:lvl>
    <w:lvl w:ilvl="1" w:tentative="0">
      <w:start w:val="1"/>
      <w:numFmt w:val="lowerLetter"/>
      <w:lvlText w:val="%2)"/>
      <w:lvlJc w:val="left"/>
      <w:pPr>
        <w:ind w:left="1067" w:hanging="420"/>
      </w:pPr>
    </w:lvl>
    <w:lvl w:ilvl="2" w:tentative="0">
      <w:start w:val="1"/>
      <w:numFmt w:val="lowerRoman"/>
      <w:lvlText w:val="%3."/>
      <w:lvlJc w:val="right"/>
      <w:pPr>
        <w:ind w:left="1487" w:hanging="420"/>
      </w:pPr>
    </w:lvl>
    <w:lvl w:ilvl="3" w:tentative="0">
      <w:start w:val="1"/>
      <w:numFmt w:val="decimal"/>
      <w:lvlText w:val="%4."/>
      <w:lvlJc w:val="left"/>
      <w:pPr>
        <w:ind w:left="1907" w:hanging="420"/>
      </w:pPr>
    </w:lvl>
    <w:lvl w:ilvl="4" w:tentative="0">
      <w:start w:val="1"/>
      <w:numFmt w:val="lowerLetter"/>
      <w:lvlText w:val="%5)"/>
      <w:lvlJc w:val="left"/>
      <w:pPr>
        <w:ind w:left="2327" w:hanging="420"/>
      </w:pPr>
    </w:lvl>
    <w:lvl w:ilvl="5" w:tentative="0">
      <w:start w:val="1"/>
      <w:numFmt w:val="lowerRoman"/>
      <w:lvlText w:val="%6."/>
      <w:lvlJc w:val="right"/>
      <w:pPr>
        <w:ind w:left="2747" w:hanging="420"/>
      </w:pPr>
    </w:lvl>
    <w:lvl w:ilvl="6" w:tentative="0">
      <w:start w:val="1"/>
      <w:numFmt w:val="decimal"/>
      <w:lvlText w:val="%7."/>
      <w:lvlJc w:val="left"/>
      <w:pPr>
        <w:ind w:left="3167" w:hanging="420"/>
      </w:pPr>
    </w:lvl>
    <w:lvl w:ilvl="7" w:tentative="0">
      <w:start w:val="1"/>
      <w:numFmt w:val="lowerLetter"/>
      <w:lvlText w:val="%8)"/>
      <w:lvlJc w:val="left"/>
      <w:pPr>
        <w:ind w:left="3587" w:hanging="420"/>
      </w:pPr>
    </w:lvl>
    <w:lvl w:ilvl="8" w:tentative="0">
      <w:start w:val="1"/>
      <w:numFmt w:val="lowerRoman"/>
      <w:lvlText w:val="%9."/>
      <w:lvlJc w:val="right"/>
      <w:pPr>
        <w:ind w:left="4007" w:hanging="420"/>
      </w:pPr>
    </w:lvl>
  </w:abstractNum>
  <w:abstractNum w:abstractNumId="8">
    <w:nsid w:val="00000010"/>
    <w:multiLevelType w:val="multilevel"/>
    <w:tmpl w:val="00000010"/>
    <w:lvl w:ilvl="0" w:tentative="0">
      <w:start w:val="1"/>
      <w:numFmt w:val="decimal"/>
      <w:pStyle w:val="6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1"/>
      <w:numFmt w:val="decimal"/>
      <w:lvlText w:val="%1."/>
      <w:lvlJc w:val="left"/>
      <w:pPr>
        <w:ind w:left="420" w:hanging="420"/>
      </w:pPr>
      <w:rPr>
        <w:rFonts w:hint="default"/>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9"/>
    <w:multiLevelType w:val="multilevel"/>
    <w:tmpl w:val="00000019"/>
    <w:lvl w:ilvl="0" w:tentative="0">
      <w:start w:val="1"/>
      <w:numFmt w:val="chineseCountingThousand"/>
      <w:pStyle w:val="6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C"/>
    <w:multiLevelType w:val="multilevel"/>
    <w:tmpl w:val="0000001C"/>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68509E"/>
    <w:multiLevelType w:val="multilevel"/>
    <w:tmpl w:val="0068509E"/>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E45745"/>
    <w:multiLevelType w:val="multilevel"/>
    <w:tmpl w:val="00E45745"/>
    <w:lvl w:ilvl="0" w:tentative="0">
      <w:start w:val="1"/>
      <w:numFmt w:val="decimal"/>
      <w:lvlText w:val="%1. "/>
      <w:lvlJc w:val="left"/>
      <w:pPr>
        <w:ind w:left="1130" w:hanging="420"/>
      </w:pPr>
      <w:rPr>
        <w:rFonts w:hint="eastAsia"/>
        <w:b/>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2BE6067"/>
    <w:multiLevelType w:val="multilevel"/>
    <w:tmpl w:val="02BE6067"/>
    <w:lvl w:ilvl="0" w:tentative="0">
      <w:start w:val="1"/>
      <w:numFmt w:val="decimal"/>
      <w:lvlText w:val="2.4.%1 "/>
      <w:lvlJc w:val="left"/>
      <w:pPr>
        <w:ind w:left="704" w:hanging="420"/>
      </w:pPr>
      <w:rPr>
        <w:rFonts w:hint="default" w:ascii="楷体" w:hAnsi="楷体" w:eastAsia="楷体"/>
        <w:b w:val="0"/>
        <w:strike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5">
    <w:nsid w:val="03226416"/>
    <w:multiLevelType w:val="multilevel"/>
    <w:tmpl w:val="0322641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630" w:hanging="420"/>
      </w:pPr>
    </w:lvl>
    <w:lvl w:ilvl="2" w:tentative="0">
      <w:start w:val="1"/>
      <w:numFmt w:val="lowerRoman"/>
      <w:lvlText w:val="%3."/>
      <w:lvlJc w:val="right"/>
      <w:pPr>
        <w:ind w:left="1050" w:hanging="420"/>
      </w:pPr>
    </w:lvl>
    <w:lvl w:ilvl="3" w:tentative="0">
      <w:start w:val="1"/>
      <w:numFmt w:val="decimal"/>
      <w:lvlText w:val="%4."/>
      <w:lvlJc w:val="left"/>
      <w:pPr>
        <w:ind w:left="1470" w:hanging="420"/>
      </w:pPr>
    </w:lvl>
    <w:lvl w:ilvl="4" w:tentative="0">
      <w:start w:val="1"/>
      <w:numFmt w:val="lowerLetter"/>
      <w:lvlText w:val="%5)"/>
      <w:lvlJc w:val="left"/>
      <w:pPr>
        <w:ind w:left="1890" w:hanging="420"/>
      </w:pPr>
    </w:lvl>
    <w:lvl w:ilvl="5" w:tentative="0">
      <w:start w:val="1"/>
      <w:numFmt w:val="lowerRoman"/>
      <w:lvlText w:val="%6."/>
      <w:lvlJc w:val="right"/>
      <w:pPr>
        <w:ind w:left="2310" w:hanging="420"/>
      </w:pPr>
    </w:lvl>
    <w:lvl w:ilvl="6" w:tentative="0">
      <w:start w:val="1"/>
      <w:numFmt w:val="decimal"/>
      <w:lvlText w:val="%7."/>
      <w:lvlJc w:val="left"/>
      <w:pPr>
        <w:ind w:left="2730" w:hanging="420"/>
      </w:pPr>
    </w:lvl>
    <w:lvl w:ilvl="7" w:tentative="0">
      <w:start w:val="1"/>
      <w:numFmt w:val="lowerLetter"/>
      <w:lvlText w:val="%8)"/>
      <w:lvlJc w:val="left"/>
      <w:pPr>
        <w:ind w:left="3150" w:hanging="420"/>
      </w:pPr>
    </w:lvl>
    <w:lvl w:ilvl="8" w:tentative="0">
      <w:start w:val="1"/>
      <w:numFmt w:val="lowerRoman"/>
      <w:lvlText w:val="%9."/>
      <w:lvlJc w:val="right"/>
      <w:pPr>
        <w:ind w:left="3570" w:hanging="420"/>
      </w:pPr>
    </w:lvl>
  </w:abstractNum>
  <w:abstractNum w:abstractNumId="16">
    <w:nsid w:val="066E63B6"/>
    <w:multiLevelType w:val="multilevel"/>
    <w:tmpl w:val="066E63B6"/>
    <w:lvl w:ilvl="0" w:tentative="0">
      <w:start w:val="1"/>
      <w:numFmt w:val="decimal"/>
      <w:lvlText w:val="1.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7">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8">
    <w:nsid w:val="092D2B91"/>
    <w:multiLevelType w:val="multilevel"/>
    <w:tmpl w:val="092D2B9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F196355"/>
    <w:multiLevelType w:val="multilevel"/>
    <w:tmpl w:val="0F19635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00F5420"/>
    <w:multiLevelType w:val="multilevel"/>
    <w:tmpl w:val="100F5420"/>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21">
    <w:nsid w:val="12F3169F"/>
    <w:multiLevelType w:val="multilevel"/>
    <w:tmpl w:val="12F3169F"/>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6962145"/>
    <w:multiLevelType w:val="multilevel"/>
    <w:tmpl w:val="16962145"/>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CEE1BBC"/>
    <w:multiLevelType w:val="singleLevel"/>
    <w:tmpl w:val="1CEE1BBC"/>
    <w:lvl w:ilvl="0" w:tentative="0">
      <w:start w:val="7"/>
      <w:numFmt w:val="chineseCounting"/>
      <w:suff w:val="nothing"/>
      <w:lvlText w:val="%1、"/>
      <w:lvlJc w:val="left"/>
      <w:rPr>
        <w:rFonts w:hint="eastAsia"/>
      </w:rPr>
    </w:lvl>
  </w:abstractNum>
  <w:abstractNum w:abstractNumId="24">
    <w:nsid w:val="2354186E"/>
    <w:multiLevelType w:val="multilevel"/>
    <w:tmpl w:val="2354186E"/>
    <w:lvl w:ilvl="0" w:tentative="0">
      <w:start w:val="1"/>
      <w:numFmt w:val="decimal"/>
      <w:lvlText w:val="2.1.%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5">
    <w:nsid w:val="25E021C9"/>
    <w:multiLevelType w:val="multilevel"/>
    <w:tmpl w:val="25E021C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b w:val="0"/>
        <w:bCs w:val="0"/>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6">
    <w:nsid w:val="28AA4AF5"/>
    <w:multiLevelType w:val="multilevel"/>
    <w:tmpl w:val="28AA4AF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27">
    <w:nsid w:val="29735AF9"/>
    <w:multiLevelType w:val="multilevel"/>
    <w:tmpl w:val="29735AF9"/>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ABF2833"/>
    <w:multiLevelType w:val="multilevel"/>
    <w:tmpl w:val="2ABF2833"/>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B3D6D97"/>
    <w:multiLevelType w:val="multilevel"/>
    <w:tmpl w:val="2B3D6D97"/>
    <w:lvl w:ilvl="0" w:tentative="0">
      <w:start w:val="1"/>
      <w:numFmt w:val="decimal"/>
      <w:lvlText w:val="%1"/>
      <w:lvlJc w:val="center"/>
      <w:pPr>
        <w:ind w:left="1044" w:hanging="647"/>
      </w:pPr>
      <w:rPr>
        <w:rFonts w:hint="default" w:eastAsia="宋体"/>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D850054"/>
    <w:multiLevelType w:val="multilevel"/>
    <w:tmpl w:val="2D850054"/>
    <w:lvl w:ilvl="0" w:tentative="0">
      <w:start w:val="1"/>
      <w:numFmt w:val="chineseCountingThousand"/>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11832AE"/>
    <w:multiLevelType w:val="multilevel"/>
    <w:tmpl w:val="311832AE"/>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15F4B3A"/>
    <w:multiLevelType w:val="multilevel"/>
    <w:tmpl w:val="315F4B3A"/>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3">
    <w:nsid w:val="34067B01"/>
    <w:multiLevelType w:val="multilevel"/>
    <w:tmpl w:val="34067B01"/>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48D551D"/>
    <w:multiLevelType w:val="multilevel"/>
    <w:tmpl w:val="348D551D"/>
    <w:lvl w:ilvl="0" w:tentative="0">
      <w:start w:val="1"/>
      <w:numFmt w:val="decimal"/>
      <w:lvlText w:val="1.4.%1 "/>
      <w:lvlJc w:val="left"/>
      <w:pPr>
        <w:ind w:left="987" w:hanging="420"/>
      </w:pPr>
      <w:rPr>
        <w:rFonts w:hint="default" w:ascii="楷体" w:hAnsi="楷体" w:eastAsia="楷体"/>
        <w:b w:val="0"/>
        <w:strike w:val="0"/>
        <w:color w:val="auto"/>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5">
    <w:nsid w:val="35442C9F"/>
    <w:multiLevelType w:val="multilevel"/>
    <w:tmpl w:val="35442C9F"/>
    <w:lvl w:ilvl="0" w:tentative="0">
      <w:start w:val="1"/>
      <w:numFmt w:val="decimal"/>
      <w:lvlText w:val="1.%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37C132BF"/>
    <w:multiLevelType w:val="multilevel"/>
    <w:tmpl w:val="37C132BF"/>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0E6015E"/>
    <w:multiLevelType w:val="multilevel"/>
    <w:tmpl w:val="40E6015E"/>
    <w:lvl w:ilvl="0" w:tentative="0">
      <w:start w:val="1"/>
      <w:numFmt w:val="decimal"/>
      <w:lvlText w:val="28.2.%1 "/>
      <w:lvlJc w:val="left"/>
      <w:pPr>
        <w:ind w:left="643" w:hanging="420"/>
      </w:pPr>
      <w:rPr>
        <w:rFonts w:hint="default" w:ascii="仿宋" w:hAnsi="仿宋" w:eastAsia="仿宋"/>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8">
    <w:nsid w:val="44357922"/>
    <w:multiLevelType w:val="multilevel"/>
    <w:tmpl w:val="44357922"/>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9C131F2"/>
    <w:multiLevelType w:val="multilevel"/>
    <w:tmpl w:val="49C131F2"/>
    <w:lvl w:ilvl="0" w:tentative="0">
      <w:start w:val="1"/>
      <w:numFmt w:val="decimal"/>
      <w:lvlText w:val="1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05F200A"/>
    <w:multiLevelType w:val="multilevel"/>
    <w:tmpl w:val="505F200A"/>
    <w:lvl w:ilvl="0" w:tentative="0">
      <w:start w:val="1"/>
      <w:numFmt w:val="decimal"/>
      <w:lvlText w:val="%1. "/>
      <w:lvlJc w:val="left"/>
      <w:pPr>
        <w:ind w:left="846" w:hanging="420"/>
      </w:pPr>
      <w:rPr>
        <w:rFonts w:hint="eastAsia"/>
        <w:b/>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53FC3277"/>
    <w:multiLevelType w:val="multilevel"/>
    <w:tmpl w:val="53FC3277"/>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2">
    <w:nsid w:val="577C0B87"/>
    <w:multiLevelType w:val="multilevel"/>
    <w:tmpl w:val="577C0B87"/>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9A852BA"/>
    <w:multiLevelType w:val="multilevel"/>
    <w:tmpl w:val="59A852BA"/>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4">
    <w:nsid w:val="5EB811DC"/>
    <w:multiLevelType w:val="multilevel"/>
    <w:tmpl w:val="5EB811DC"/>
    <w:lvl w:ilvl="0" w:tentative="0">
      <w:start w:val="1"/>
      <w:numFmt w:val="decimal"/>
      <w:lvlText w:val="%1 "/>
      <w:lvlJc w:val="left"/>
      <w:pPr>
        <w:ind w:left="643" w:hanging="420"/>
      </w:pPr>
      <w:rPr>
        <w:rFonts w:hint="default" w:ascii="楷体" w:hAnsi="楷体" w:eastAsia="楷体"/>
        <w:b w:val="0"/>
        <w:strike w:val="0"/>
        <w:color w:val="auto"/>
      </w:rPr>
    </w:lvl>
    <w:lvl w:ilvl="1" w:tentative="0">
      <w:start w:val="1"/>
      <w:numFmt w:val="decimal"/>
      <w:lvlText w:val="(%2) "/>
      <w:lvlJc w:val="left"/>
      <w:pPr>
        <w:ind w:left="840" w:hanging="420"/>
      </w:pPr>
      <w:rPr>
        <w:rFonts w:hint="eastAsia"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0AB47ED"/>
    <w:multiLevelType w:val="multilevel"/>
    <w:tmpl w:val="60AB47ED"/>
    <w:lvl w:ilvl="0" w:tentative="0">
      <w:start w:val="1"/>
      <w:numFmt w:val="decimal"/>
      <w:lvlText w:val="2.3.%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6">
    <w:nsid w:val="643B08CA"/>
    <w:multiLevelType w:val="multilevel"/>
    <w:tmpl w:val="643B08CA"/>
    <w:lvl w:ilvl="0" w:tentative="0">
      <w:start w:val="1"/>
      <w:numFmt w:val="decimal"/>
      <w:lvlText w:val="3.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47">
    <w:nsid w:val="68AB399A"/>
    <w:multiLevelType w:val="multilevel"/>
    <w:tmpl w:val="68AB399A"/>
    <w:lvl w:ilvl="0" w:tentative="0">
      <w:start w:val="1"/>
      <w:numFmt w:val="decimal"/>
      <w:lvlText w:val="(%1) "/>
      <w:lvlJc w:val="left"/>
      <w:pPr>
        <w:ind w:left="84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9647823"/>
    <w:multiLevelType w:val="multilevel"/>
    <w:tmpl w:val="69647823"/>
    <w:lvl w:ilvl="0" w:tentative="0">
      <w:start w:val="1"/>
      <w:numFmt w:val="decimal"/>
      <w:lvlText w:val="3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0523CE7"/>
    <w:multiLevelType w:val="multilevel"/>
    <w:tmpl w:val="70523CE7"/>
    <w:lvl w:ilvl="0" w:tentative="0">
      <w:start w:val="1"/>
      <w:numFmt w:val="decimal"/>
      <w:lvlText w:val="1.3.%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0">
    <w:nsid w:val="730B37A3"/>
    <w:multiLevelType w:val="multilevel"/>
    <w:tmpl w:val="730B37A3"/>
    <w:lvl w:ilvl="0" w:tentative="0">
      <w:start w:val="1"/>
      <w:numFmt w:val="decimal"/>
      <w:lvlText w:val="2.%1 "/>
      <w:lvlJc w:val="left"/>
      <w:pPr>
        <w:ind w:left="420" w:hanging="420"/>
      </w:pPr>
      <w:rPr>
        <w:rFonts w:hint="default" w:ascii="仿宋" w:hAnsi="仿宋" w:eastAsia="仿宋"/>
        <w:b/>
        <w:color w:val="auto"/>
      </w:rPr>
    </w:lvl>
    <w:lvl w:ilvl="1" w:tentative="0">
      <w:start w:val="1"/>
      <w:numFmt w:val="decimal"/>
      <w:lvlText w:val="%2、"/>
      <w:lvlJc w:val="left"/>
      <w:pPr>
        <w:ind w:left="1197" w:hanging="825"/>
      </w:pPr>
      <w:rPr>
        <w:rFonts w:hint="default"/>
      </w:r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51">
    <w:nsid w:val="774C7C21"/>
    <w:multiLevelType w:val="multilevel"/>
    <w:tmpl w:val="774C7C2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977DBE2"/>
    <w:multiLevelType w:val="singleLevel"/>
    <w:tmpl w:val="7977DBE2"/>
    <w:lvl w:ilvl="0" w:tentative="0">
      <w:start w:val="1"/>
      <w:numFmt w:val="chineseCounting"/>
      <w:suff w:val="nothing"/>
      <w:lvlText w:val="%1、"/>
      <w:lvlJc w:val="left"/>
      <w:pPr>
        <w:ind w:left="-60"/>
      </w:pPr>
      <w:rPr>
        <w:rFonts w:hint="eastAsia"/>
      </w:rPr>
    </w:lvl>
  </w:abstractNum>
  <w:abstractNum w:abstractNumId="53">
    <w:nsid w:val="7F727E9F"/>
    <w:multiLevelType w:val="multilevel"/>
    <w:tmpl w:val="7F727E9F"/>
    <w:lvl w:ilvl="0" w:tentative="0">
      <w:start w:val="1"/>
      <w:numFmt w:val="decimal"/>
      <w:lvlText w:val="2.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4">
    <w:nsid w:val="7FE667D9"/>
    <w:multiLevelType w:val="multilevel"/>
    <w:tmpl w:val="7FE667D9"/>
    <w:lvl w:ilvl="0" w:tentative="0">
      <w:start w:val="1"/>
      <w:numFmt w:val="decimal"/>
      <w:lvlText w:val="1.1.%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7"/>
  </w:num>
  <w:num w:numId="2">
    <w:abstractNumId w:val="3"/>
  </w:num>
  <w:num w:numId="3">
    <w:abstractNumId w:val="10"/>
  </w:num>
  <w:num w:numId="4">
    <w:abstractNumId w:val="8"/>
  </w:num>
  <w:num w:numId="5">
    <w:abstractNumId w:val="23"/>
  </w:num>
  <w:num w:numId="6">
    <w:abstractNumId w:val="15"/>
  </w:num>
  <w:num w:numId="7">
    <w:abstractNumId w:val="25"/>
  </w:num>
  <w:num w:numId="8">
    <w:abstractNumId w:val="22"/>
  </w:num>
  <w:num w:numId="9">
    <w:abstractNumId w:val="18"/>
  </w:num>
  <w:num w:numId="10">
    <w:abstractNumId w:val="46"/>
  </w:num>
  <w:num w:numId="11">
    <w:abstractNumId w:val="36"/>
  </w:num>
  <w:num w:numId="12">
    <w:abstractNumId w:val="43"/>
  </w:num>
  <w:num w:numId="13">
    <w:abstractNumId w:val="32"/>
  </w:num>
  <w:num w:numId="14">
    <w:abstractNumId w:val="17"/>
  </w:num>
  <w:num w:numId="15">
    <w:abstractNumId w:val="27"/>
  </w:num>
  <w:num w:numId="16">
    <w:abstractNumId w:val="28"/>
  </w:num>
  <w:num w:numId="17">
    <w:abstractNumId w:val="20"/>
  </w:num>
  <w:num w:numId="18">
    <w:abstractNumId w:val="19"/>
  </w:num>
  <w:num w:numId="19">
    <w:abstractNumId w:val="51"/>
  </w:num>
  <w:num w:numId="20">
    <w:abstractNumId w:val="39"/>
  </w:num>
  <w:num w:numId="21">
    <w:abstractNumId w:val="21"/>
  </w:num>
  <w:num w:numId="22">
    <w:abstractNumId w:val="31"/>
  </w:num>
  <w:num w:numId="23">
    <w:abstractNumId w:val="37"/>
  </w:num>
  <w:num w:numId="24">
    <w:abstractNumId w:val="48"/>
  </w:num>
  <w:num w:numId="25">
    <w:abstractNumId w:val="12"/>
  </w:num>
  <w:num w:numId="26">
    <w:abstractNumId w:val="52"/>
  </w:num>
  <w:num w:numId="27">
    <w:abstractNumId w:val="2"/>
  </w:num>
  <w:num w:numId="28">
    <w:abstractNumId w:val="1"/>
  </w:num>
  <w:num w:numId="29">
    <w:abstractNumId w:val="0"/>
  </w:num>
  <w:num w:numId="30">
    <w:abstractNumId w:val="42"/>
  </w:num>
  <w:num w:numId="31">
    <w:abstractNumId w:val="30"/>
  </w:num>
  <w:num w:numId="32">
    <w:abstractNumId w:val="40"/>
  </w:num>
  <w:num w:numId="33">
    <w:abstractNumId w:val="35"/>
  </w:num>
  <w:num w:numId="34">
    <w:abstractNumId w:val="54"/>
  </w:num>
  <w:num w:numId="35">
    <w:abstractNumId w:val="44"/>
  </w:num>
  <w:num w:numId="36">
    <w:abstractNumId w:val="33"/>
  </w:num>
  <w:num w:numId="37">
    <w:abstractNumId w:val="49"/>
  </w:num>
  <w:num w:numId="38">
    <w:abstractNumId w:val="34"/>
  </w:num>
  <w:num w:numId="39">
    <w:abstractNumId w:val="16"/>
  </w:num>
  <w:num w:numId="40">
    <w:abstractNumId w:val="13"/>
  </w:num>
  <w:num w:numId="41">
    <w:abstractNumId w:val="10"/>
    <w:lvlOverride w:ilvl="0">
      <w:startOverride w:val="1"/>
    </w:lvlOverride>
  </w:num>
  <w:num w:numId="42">
    <w:abstractNumId w:val="29"/>
  </w:num>
  <w:num w:numId="43">
    <w:abstractNumId w:val="26"/>
  </w:num>
  <w:num w:numId="44">
    <w:abstractNumId w:val="50"/>
  </w:num>
  <w:num w:numId="45">
    <w:abstractNumId w:val="24"/>
  </w:num>
  <w:num w:numId="46">
    <w:abstractNumId w:val="47"/>
  </w:num>
  <w:num w:numId="47">
    <w:abstractNumId w:val="38"/>
  </w:num>
  <w:num w:numId="48">
    <w:abstractNumId w:val="45"/>
  </w:num>
  <w:num w:numId="49">
    <w:abstractNumId w:val="14"/>
  </w:num>
  <w:num w:numId="50">
    <w:abstractNumId w:val="53"/>
  </w:num>
  <w:num w:numId="51">
    <w:abstractNumId w:val="9"/>
  </w:num>
  <w:num w:numId="52">
    <w:abstractNumId w:val="5"/>
  </w:num>
  <w:num w:numId="53">
    <w:abstractNumId w:val="4"/>
  </w:num>
  <w:num w:numId="54">
    <w:abstractNumId w:val="41"/>
  </w:num>
  <w:num w:numId="55">
    <w:abstractNumId w:val="6"/>
  </w:num>
  <w:num w:numId="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6"/>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MTNhN2M5NGQzZGU0MGFiMjAxNzI1NDAxMjE0YTkifQ=="/>
  </w:docVars>
  <w:rsids>
    <w:rsidRoot w:val="00172A27"/>
    <w:rsid w:val="00002141"/>
    <w:rsid w:val="00003008"/>
    <w:rsid w:val="00007AA3"/>
    <w:rsid w:val="0002314B"/>
    <w:rsid w:val="0002350F"/>
    <w:rsid w:val="00040475"/>
    <w:rsid w:val="00041CDF"/>
    <w:rsid w:val="00041FF0"/>
    <w:rsid w:val="000518FB"/>
    <w:rsid w:val="00056F69"/>
    <w:rsid w:val="00083823"/>
    <w:rsid w:val="0008539B"/>
    <w:rsid w:val="000A78E3"/>
    <w:rsid w:val="000B1973"/>
    <w:rsid w:val="000B294D"/>
    <w:rsid w:val="000B553C"/>
    <w:rsid w:val="000B7C77"/>
    <w:rsid w:val="000E5527"/>
    <w:rsid w:val="000E6B31"/>
    <w:rsid w:val="000E6BE2"/>
    <w:rsid w:val="000F1C88"/>
    <w:rsid w:val="000F7620"/>
    <w:rsid w:val="00100604"/>
    <w:rsid w:val="00112829"/>
    <w:rsid w:val="001137DC"/>
    <w:rsid w:val="00116C89"/>
    <w:rsid w:val="00117226"/>
    <w:rsid w:val="00123F81"/>
    <w:rsid w:val="00133C43"/>
    <w:rsid w:val="0014163D"/>
    <w:rsid w:val="00144DEE"/>
    <w:rsid w:val="00147851"/>
    <w:rsid w:val="001512A5"/>
    <w:rsid w:val="00151937"/>
    <w:rsid w:val="00162C65"/>
    <w:rsid w:val="00164FB1"/>
    <w:rsid w:val="001659D8"/>
    <w:rsid w:val="00172A27"/>
    <w:rsid w:val="00177F14"/>
    <w:rsid w:val="00182520"/>
    <w:rsid w:val="00183334"/>
    <w:rsid w:val="001A063D"/>
    <w:rsid w:val="001A1F0F"/>
    <w:rsid w:val="001B0CE0"/>
    <w:rsid w:val="001B5244"/>
    <w:rsid w:val="001B5BEB"/>
    <w:rsid w:val="001C5437"/>
    <w:rsid w:val="001C5F1C"/>
    <w:rsid w:val="001D1943"/>
    <w:rsid w:val="001D2C42"/>
    <w:rsid w:val="001D2FA2"/>
    <w:rsid w:val="001D3D60"/>
    <w:rsid w:val="001D69A9"/>
    <w:rsid w:val="001F0FC7"/>
    <w:rsid w:val="001F60BF"/>
    <w:rsid w:val="002036DD"/>
    <w:rsid w:val="00210162"/>
    <w:rsid w:val="002135FC"/>
    <w:rsid w:val="002207E9"/>
    <w:rsid w:val="0023174F"/>
    <w:rsid w:val="0024092D"/>
    <w:rsid w:val="00252CD4"/>
    <w:rsid w:val="002559F7"/>
    <w:rsid w:val="0025639B"/>
    <w:rsid w:val="00260C58"/>
    <w:rsid w:val="0026546E"/>
    <w:rsid w:val="00272B74"/>
    <w:rsid w:val="002750E8"/>
    <w:rsid w:val="002775C1"/>
    <w:rsid w:val="002807F2"/>
    <w:rsid w:val="00282100"/>
    <w:rsid w:val="0028645E"/>
    <w:rsid w:val="00287DE2"/>
    <w:rsid w:val="002A3C03"/>
    <w:rsid w:val="002A695A"/>
    <w:rsid w:val="002B646A"/>
    <w:rsid w:val="002B7BC9"/>
    <w:rsid w:val="002C0ED9"/>
    <w:rsid w:val="002E3284"/>
    <w:rsid w:val="002E6517"/>
    <w:rsid w:val="002F1637"/>
    <w:rsid w:val="002F19DB"/>
    <w:rsid w:val="0030447D"/>
    <w:rsid w:val="00306627"/>
    <w:rsid w:val="003156C6"/>
    <w:rsid w:val="00320953"/>
    <w:rsid w:val="0032179D"/>
    <w:rsid w:val="00321B23"/>
    <w:rsid w:val="0035544A"/>
    <w:rsid w:val="00355519"/>
    <w:rsid w:val="00357AE3"/>
    <w:rsid w:val="00367BD0"/>
    <w:rsid w:val="0038752F"/>
    <w:rsid w:val="00390231"/>
    <w:rsid w:val="00393493"/>
    <w:rsid w:val="003A0548"/>
    <w:rsid w:val="003B26FD"/>
    <w:rsid w:val="003C0C8F"/>
    <w:rsid w:val="003C72D6"/>
    <w:rsid w:val="003D2D9D"/>
    <w:rsid w:val="003D7628"/>
    <w:rsid w:val="003F3CE8"/>
    <w:rsid w:val="003F7FBD"/>
    <w:rsid w:val="00401249"/>
    <w:rsid w:val="00414AC1"/>
    <w:rsid w:val="00430955"/>
    <w:rsid w:val="00433349"/>
    <w:rsid w:val="00445D6D"/>
    <w:rsid w:val="00454386"/>
    <w:rsid w:val="004556BE"/>
    <w:rsid w:val="00461CBD"/>
    <w:rsid w:val="00463C2D"/>
    <w:rsid w:val="00484DC7"/>
    <w:rsid w:val="004870EC"/>
    <w:rsid w:val="004A1B23"/>
    <w:rsid w:val="004B13D7"/>
    <w:rsid w:val="004C676F"/>
    <w:rsid w:val="004D2AB0"/>
    <w:rsid w:val="004D6E63"/>
    <w:rsid w:val="004E57FC"/>
    <w:rsid w:val="004F681C"/>
    <w:rsid w:val="00501272"/>
    <w:rsid w:val="005034C1"/>
    <w:rsid w:val="00506D44"/>
    <w:rsid w:val="00521356"/>
    <w:rsid w:val="0052145C"/>
    <w:rsid w:val="005406D2"/>
    <w:rsid w:val="005525AA"/>
    <w:rsid w:val="0055568B"/>
    <w:rsid w:val="00556E4C"/>
    <w:rsid w:val="00567898"/>
    <w:rsid w:val="0058297B"/>
    <w:rsid w:val="00587A9C"/>
    <w:rsid w:val="005A220C"/>
    <w:rsid w:val="005A330D"/>
    <w:rsid w:val="005B28A9"/>
    <w:rsid w:val="005D756B"/>
    <w:rsid w:val="005E292C"/>
    <w:rsid w:val="005E4964"/>
    <w:rsid w:val="005F5368"/>
    <w:rsid w:val="005F7499"/>
    <w:rsid w:val="005F7964"/>
    <w:rsid w:val="00600002"/>
    <w:rsid w:val="00617E06"/>
    <w:rsid w:val="006318EF"/>
    <w:rsid w:val="00634D95"/>
    <w:rsid w:val="00652C22"/>
    <w:rsid w:val="00655AD6"/>
    <w:rsid w:val="00656739"/>
    <w:rsid w:val="00657FE4"/>
    <w:rsid w:val="00663483"/>
    <w:rsid w:val="006770F1"/>
    <w:rsid w:val="00677D9F"/>
    <w:rsid w:val="00691A4B"/>
    <w:rsid w:val="006A118F"/>
    <w:rsid w:val="006B27B8"/>
    <w:rsid w:val="006C03B2"/>
    <w:rsid w:val="006D11E5"/>
    <w:rsid w:val="006D2AAD"/>
    <w:rsid w:val="006D3F58"/>
    <w:rsid w:val="006E30DE"/>
    <w:rsid w:val="006E33FE"/>
    <w:rsid w:val="006F6366"/>
    <w:rsid w:val="00704AC5"/>
    <w:rsid w:val="007132FD"/>
    <w:rsid w:val="00717D5D"/>
    <w:rsid w:val="007223F5"/>
    <w:rsid w:val="007227B5"/>
    <w:rsid w:val="007363FD"/>
    <w:rsid w:val="00743578"/>
    <w:rsid w:val="007518F1"/>
    <w:rsid w:val="00762AB8"/>
    <w:rsid w:val="00763D0F"/>
    <w:rsid w:val="00770190"/>
    <w:rsid w:val="00770BA7"/>
    <w:rsid w:val="00772092"/>
    <w:rsid w:val="007803E9"/>
    <w:rsid w:val="007807FB"/>
    <w:rsid w:val="00782672"/>
    <w:rsid w:val="00783136"/>
    <w:rsid w:val="00786BFC"/>
    <w:rsid w:val="00797762"/>
    <w:rsid w:val="007A2B06"/>
    <w:rsid w:val="007B3729"/>
    <w:rsid w:val="007C0ECC"/>
    <w:rsid w:val="007C353E"/>
    <w:rsid w:val="007D599A"/>
    <w:rsid w:val="007F6365"/>
    <w:rsid w:val="00807CE4"/>
    <w:rsid w:val="0081403B"/>
    <w:rsid w:val="00824124"/>
    <w:rsid w:val="00825DB8"/>
    <w:rsid w:val="0084782C"/>
    <w:rsid w:val="00853543"/>
    <w:rsid w:val="00854AAF"/>
    <w:rsid w:val="00862D2B"/>
    <w:rsid w:val="00867486"/>
    <w:rsid w:val="00871458"/>
    <w:rsid w:val="00880F95"/>
    <w:rsid w:val="00882FDA"/>
    <w:rsid w:val="0088334C"/>
    <w:rsid w:val="008866D0"/>
    <w:rsid w:val="00891CBC"/>
    <w:rsid w:val="008A5079"/>
    <w:rsid w:val="008A6756"/>
    <w:rsid w:val="008B2EB5"/>
    <w:rsid w:val="008B7247"/>
    <w:rsid w:val="008B7D22"/>
    <w:rsid w:val="008C7AEA"/>
    <w:rsid w:val="008D0E2E"/>
    <w:rsid w:val="009038EE"/>
    <w:rsid w:val="00913D98"/>
    <w:rsid w:val="009152B1"/>
    <w:rsid w:val="009300F1"/>
    <w:rsid w:val="009408A4"/>
    <w:rsid w:val="00946462"/>
    <w:rsid w:val="00951260"/>
    <w:rsid w:val="00951864"/>
    <w:rsid w:val="009535A9"/>
    <w:rsid w:val="009640A6"/>
    <w:rsid w:val="0097285B"/>
    <w:rsid w:val="00983D60"/>
    <w:rsid w:val="009868A9"/>
    <w:rsid w:val="00996D5E"/>
    <w:rsid w:val="009A3BDA"/>
    <w:rsid w:val="009B2D83"/>
    <w:rsid w:val="009B61D2"/>
    <w:rsid w:val="009E48A7"/>
    <w:rsid w:val="009E614B"/>
    <w:rsid w:val="009F52F6"/>
    <w:rsid w:val="00A010B9"/>
    <w:rsid w:val="00A02FF5"/>
    <w:rsid w:val="00A058C7"/>
    <w:rsid w:val="00A12970"/>
    <w:rsid w:val="00A20E5A"/>
    <w:rsid w:val="00A214C2"/>
    <w:rsid w:val="00A26646"/>
    <w:rsid w:val="00A6559D"/>
    <w:rsid w:val="00A65C50"/>
    <w:rsid w:val="00A90878"/>
    <w:rsid w:val="00A91DB1"/>
    <w:rsid w:val="00AB19CA"/>
    <w:rsid w:val="00AB4750"/>
    <w:rsid w:val="00AC2EE6"/>
    <w:rsid w:val="00AC376D"/>
    <w:rsid w:val="00AF0F5F"/>
    <w:rsid w:val="00AF15AC"/>
    <w:rsid w:val="00AF3C7C"/>
    <w:rsid w:val="00B038F0"/>
    <w:rsid w:val="00B0781E"/>
    <w:rsid w:val="00B142CF"/>
    <w:rsid w:val="00B24CFD"/>
    <w:rsid w:val="00B25EAB"/>
    <w:rsid w:val="00B264C4"/>
    <w:rsid w:val="00B27A2E"/>
    <w:rsid w:val="00B36E3C"/>
    <w:rsid w:val="00B37A6B"/>
    <w:rsid w:val="00B4318A"/>
    <w:rsid w:val="00B4687D"/>
    <w:rsid w:val="00B53DD4"/>
    <w:rsid w:val="00B8568B"/>
    <w:rsid w:val="00BB3A5B"/>
    <w:rsid w:val="00BC2F35"/>
    <w:rsid w:val="00BD4189"/>
    <w:rsid w:val="00BE4963"/>
    <w:rsid w:val="00C03077"/>
    <w:rsid w:val="00C05961"/>
    <w:rsid w:val="00C1128B"/>
    <w:rsid w:val="00C159A2"/>
    <w:rsid w:val="00C170F3"/>
    <w:rsid w:val="00C26ACC"/>
    <w:rsid w:val="00C303F2"/>
    <w:rsid w:val="00C365D5"/>
    <w:rsid w:val="00C54EEC"/>
    <w:rsid w:val="00C60AD5"/>
    <w:rsid w:val="00C64432"/>
    <w:rsid w:val="00C73544"/>
    <w:rsid w:val="00C85D95"/>
    <w:rsid w:val="00C867DA"/>
    <w:rsid w:val="00C8727E"/>
    <w:rsid w:val="00C903CA"/>
    <w:rsid w:val="00C9425F"/>
    <w:rsid w:val="00C97D5F"/>
    <w:rsid w:val="00CA05B1"/>
    <w:rsid w:val="00CA0FB8"/>
    <w:rsid w:val="00CA398B"/>
    <w:rsid w:val="00CB6366"/>
    <w:rsid w:val="00CD25A5"/>
    <w:rsid w:val="00CE7A23"/>
    <w:rsid w:val="00CF397C"/>
    <w:rsid w:val="00CF7D3D"/>
    <w:rsid w:val="00D14419"/>
    <w:rsid w:val="00D14F32"/>
    <w:rsid w:val="00D212BC"/>
    <w:rsid w:val="00D27BCF"/>
    <w:rsid w:val="00D36AD5"/>
    <w:rsid w:val="00D36B7D"/>
    <w:rsid w:val="00D531EC"/>
    <w:rsid w:val="00D75AA3"/>
    <w:rsid w:val="00D800DA"/>
    <w:rsid w:val="00D84E09"/>
    <w:rsid w:val="00D86640"/>
    <w:rsid w:val="00D903FA"/>
    <w:rsid w:val="00DA36D4"/>
    <w:rsid w:val="00DA7A38"/>
    <w:rsid w:val="00DB76D8"/>
    <w:rsid w:val="00DC121A"/>
    <w:rsid w:val="00DC34BC"/>
    <w:rsid w:val="00DD1482"/>
    <w:rsid w:val="00DD4477"/>
    <w:rsid w:val="00DF26A2"/>
    <w:rsid w:val="00DF2E9A"/>
    <w:rsid w:val="00DF5B34"/>
    <w:rsid w:val="00DF5CDB"/>
    <w:rsid w:val="00E01E43"/>
    <w:rsid w:val="00E07BE9"/>
    <w:rsid w:val="00E22609"/>
    <w:rsid w:val="00E552D1"/>
    <w:rsid w:val="00E60F07"/>
    <w:rsid w:val="00E75B3C"/>
    <w:rsid w:val="00E807EF"/>
    <w:rsid w:val="00E8141D"/>
    <w:rsid w:val="00E815CC"/>
    <w:rsid w:val="00E875FB"/>
    <w:rsid w:val="00EA1229"/>
    <w:rsid w:val="00EB266A"/>
    <w:rsid w:val="00EB3867"/>
    <w:rsid w:val="00EC05BE"/>
    <w:rsid w:val="00EC5A26"/>
    <w:rsid w:val="00EC7A29"/>
    <w:rsid w:val="00ED1459"/>
    <w:rsid w:val="00ED203C"/>
    <w:rsid w:val="00ED4E99"/>
    <w:rsid w:val="00EE1E49"/>
    <w:rsid w:val="00EE3BC8"/>
    <w:rsid w:val="00EE404C"/>
    <w:rsid w:val="00EF5000"/>
    <w:rsid w:val="00EF60AB"/>
    <w:rsid w:val="00F16253"/>
    <w:rsid w:val="00F32440"/>
    <w:rsid w:val="00F40BF5"/>
    <w:rsid w:val="00F417C2"/>
    <w:rsid w:val="00F42359"/>
    <w:rsid w:val="00F42828"/>
    <w:rsid w:val="00F5119F"/>
    <w:rsid w:val="00F5262E"/>
    <w:rsid w:val="00F54DA0"/>
    <w:rsid w:val="00F62565"/>
    <w:rsid w:val="00F63BA2"/>
    <w:rsid w:val="00FC5301"/>
    <w:rsid w:val="00FD367E"/>
    <w:rsid w:val="00FE1711"/>
    <w:rsid w:val="00FE21ED"/>
    <w:rsid w:val="00FE5E4B"/>
    <w:rsid w:val="00FE6ECF"/>
    <w:rsid w:val="01444C23"/>
    <w:rsid w:val="0149727D"/>
    <w:rsid w:val="0167511D"/>
    <w:rsid w:val="016A176E"/>
    <w:rsid w:val="01925732"/>
    <w:rsid w:val="02AA0B38"/>
    <w:rsid w:val="033F5FAE"/>
    <w:rsid w:val="036D7E3A"/>
    <w:rsid w:val="036E07AC"/>
    <w:rsid w:val="0379703E"/>
    <w:rsid w:val="03FD2FAD"/>
    <w:rsid w:val="04B120F7"/>
    <w:rsid w:val="04D66495"/>
    <w:rsid w:val="04F2595D"/>
    <w:rsid w:val="04F91920"/>
    <w:rsid w:val="05021D3C"/>
    <w:rsid w:val="0516631A"/>
    <w:rsid w:val="057D627B"/>
    <w:rsid w:val="059704F1"/>
    <w:rsid w:val="05B84D42"/>
    <w:rsid w:val="066015EC"/>
    <w:rsid w:val="06866383"/>
    <w:rsid w:val="08417578"/>
    <w:rsid w:val="087D73C9"/>
    <w:rsid w:val="08EC653A"/>
    <w:rsid w:val="09257549"/>
    <w:rsid w:val="097371C3"/>
    <w:rsid w:val="0A007542"/>
    <w:rsid w:val="0A5D023E"/>
    <w:rsid w:val="0A6A7611"/>
    <w:rsid w:val="0AA30A0F"/>
    <w:rsid w:val="0ABA64F3"/>
    <w:rsid w:val="0ABD4F98"/>
    <w:rsid w:val="0B024531"/>
    <w:rsid w:val="0B1B2529"/>
    <w:rsid w:val="0B72327E"/>
    <w:rsid w:val="0BE25C84"/>
    <w:rsid w:val="0C2B1794"/>
    <w:rsid w:val="0C7A3BF2"/>
    <w:rsid w:val="0CA57A09"/>
    <w:rsid w:val="0D345D8F"/>
    <w:rsid w:val="0D4508F8"/>
    <w:rsid w:val="0D7B0568"/>
    <w:rsid w:val="0DA26324"/>
    <w:rsid w:val="0DB300AA"/>
    <w:rsid w:val="0E4031EB"/>
    <w:rsid w:val="0E637158"/>
    <w:rsid w:val="0EF03FF1"/>
    <w:rsid w:val="0EF40828"/>
    <w:rsid w:val="0F063405"/>
    <w:rsid w:val="0F4C44C3"/>
    <w:rsid w:val="0F905E7F"/>
    <w:rsid w:val="0FBC6607"/>
    <w:rsid w:val="0FFF5EB9"/>
    <w:rsid w:val="102E3E50"/>
    <w:rsid w:val="1051175C"/>
    <w:rsid w:val="106421FD"/>
    <w:rsid w:val="10901468"/>
    <w:rsid w:val="10955EAF"/>
    <w:rsid w:val="10AE35A2"/>
    <w:rsid w:val="10E33A63"/>
    <w:rsid w:val="10FB165E"/>
    <w:rsid w:val="11007FA3"/>
    <w:rsid w:val="112961E4"/>
    <w:rsid w:val="11714383"/>
    <w:rsid w:val="12633C76"/>
    <w:rsid w:val="12AF5F31"/>
    <w:rsid w:val="12B34794"/>
    <w:rsid w:val="12C963E8"/>
    <w:rsid w:val="12F25D20"/>
    <w:rsid w:val="130518CC"/>
    <w:rsid w:val="13FA243C"/>
    <w:rsid w:val="14292F91"/>
    <w:rsid w:val="1444190A"/>
    <w:rsid w:val="145F334D"/>
    <w:rsid w:val="14B26EFB"/>
    <w:rsid w:val="14F949CC"/>
    <w:rsid w:val="1513734D"/>
    <w:rsid w:val="159D7523"/>
    <w:rsid w:val="15A10E4D"/>
    <w:rsid w:val="15FE2A58"/>
    <w:rsid w:val="163F355F"/>
    <w:rsid w:val="1693601E"/>
    <w:rsid w:val="16BC5ABA"/>
    <w:rsid w:val="16E64956"/>
    <w:rsid w:val="175D16EF"/>
    <w:rsid w:val="17F46B96"/>
    <w:rsid w:val="18082D1F"/>
    <w:rsid w:val="18195125"/>
    <w:rsid w:val="18750607"/>
    <w:rsid w:val="18C549BB"/>
    <w:rsid w:val="19B527C2"/>
    <w:rsid w:val="19F80AA9"/>
    <w:rsid w:val="19FE2850"/>
    <w:rsid w:val="1A5E1DC7"/>
    <w:rsid w:val="1BB959E6"/>
    <w:rsid w:val="1C055621"/>
    <w:rsid w:val="1CD5426B"/>
    <w:rsid w:val="1CFC316B"/>
    <w:rsid w:val="1D286C09"/>
    <w:rsid w:val="1D3D1123"/>
    <w:rsid w:val="1DBA11F5"/>
    <w:rsid w:val="1E0E58E7"/>
    <w:rsid w:val="1E30215E"/>
    <w:rsid w:val="1E5B5802"/>
    <w:rsid w:val="1E644431"/>
    <w:rsid w:val="1E824CCF"/>
    <w:rsid w:val="1ECD16BA"/>
    <w:rsid w:val="1EEB4BE7"/>
    <w:rsid w:val="1F551BCF"/>
    <w:rsid w:val="1FAC238B"/>
    <w:rsid w:val="1FB74F18"/>
    <w:rsid w:val="1FD57FE5"/>
    <w:rsid w:val="1FFD377B"/>
    <w:rsid w:val="20070CD5"/>
    <w:rsid w:val="20CA7F6E"/>
    <w:rsid w:val="21503811"/>
    <w:rsid w:val="21C43169"/>
    <w:rsid w:val="21E865F6"/>
    <w:rsid w:val="22283C6E"/>
    <w:rsid w:val="227F50D5"/>
    <w:rsid w:val="234323D0"/>
    <w:rsid w:val="23D86ABD"/>
    <w:rsid w:val="24FD4260"/>
    <w:rsid w:val="25041702"/>
    <w:rsid w:val="251A520D"/>
    <w:rsid w:val="251C76EF"/>
    <w:rsid w:val="2529079F"/>
    <w:rsid w:val="253B3118"/>
    <w:rsid w:val="256574F1"/>
    <w:rsid w:val="256E7B04"/>
    <w:rsid w:val="25AF322B"/>
    <w:rsid w:val="265108D6"/>
    <w:rsid w:val="267728FE"/>
    <w:rsid w:val="26FB06F0"/>
    <w:rsid w:val="275F1BAE"/>
    <w:rsid w:val="2799071E"/>
    <w:rsid w:val="279C6963"/>
    <w:rsid w:val="281D7BFB"/>
    <w:rsid w:val="28751D47"/>
    <w:rsid w:val="28CB2FB9"/>
    <w:rsid w:val="28D76D98"/>
    <w:rsid w:val="28E17C42"/>
    <w:rsid w:val="29076445"/>
    <w:rsid w:val="29281E2B"/>
    <w:rsid w:val="29CC234C"/>
    <w:rsid w:val="29FE36E1"/>
    <w:rsid w:val="2A063766"/>
    <w:rsid w:val="2A0B7BFF"/>
    <w:rsid w:val="2A2B3678"/>
    <w:rsid w:val="2A5A498A"/>
    <w:rsid w:val="2A8E3697"/>
    <w:rsid w:val="2AEB00EF"/>
    <w:rsid w:val="2AF754D0"/>
    <w:rsid w:val="2B69447D"/>
    <w:rsid w:val="2BF00365"/>
    <w:rsid w:val="2C1A6CE8"/>
    <w:rsid w:val="2C653D5C"/>
    <w:rsid w:val="2CE923B6"/>
    <w:rsid w:val="2CE955C6"/>
    <w:rsid w:val="2D1E500F"/>
    <w:rsid w:val="2D6141C5"/>
    <w:rsid w:val="2E514DD9"/>
    <w:rsid w:val="2EA87271"/>
    <w:rsid w:val="2EEC16A4"/>
    <w:rsid w:val="2EFE5EE6"/>
    <w:rsid w:val="2F006396"/>
    <w:rsid w:val="2F68163E"/>
    <w:rsid w:val="2FD600FB"/>
    <w:rsid w:val="30156AD1"/>
    <w:rsid w:val="30493EC7"/>
    <w:rsid w:val="30817BAC"/>
    <w:rsid w:val="30BF29CB"/>
    <w:rsid w:val="30E4343B"/>
    <w:rsid w:val="31026AE4"/>
    <w:rsid w:val="311165B6"/>
    <w:rsid w:val="31472F2D"/>
    <w:rsid w:val="315469E8"/>
    <w:rsid w:val="31AE4065"/>
    <w:rsid w:val="31C003CA"/>
    <w:rsid w:val="31C36DD4"/>
    <w:rsid w:val="336B54CC"/>
    <w:rsid w:val="33CB4D0A"/>
    <w:rsid w:val="34BA7471"/>
    <w:rsid w:val="35385894"/>
    <w:rsid w:val="359202CF"/>
    <w:rsid w:val="35EC3276"/>
    <w:rsid w:val="3641127F"/>
    <w:rsid w:val="36620295"/>
    <w:rsid w:val="36E62DD3"/>
    <w:rsid w:val="376F6EF7"/>
    <w:rsid w:val="37954CDD"/>
    <w:rsid w:val="380B186C"/>
    <w:rsid w:val="380D7F97"/>
    <w:rsid w:val="385B526D"/>
    <w:rsid w:val="38A0700E"/>
    <w:rsid w:val="38B4482D"/>
    <w:rsid w:val="38F26EA2"/>
    <w:rsid w:val="39331DC9"/>
    <w:rsid w:val="399707AA"/>
    <w:rsid w:val="39B33E20"/>
    <w:rsid w:val="3A245508"/>
    <w:rsid w:val="3A3036FB"/>
    <w:rsid w:val="3A426973"/>
    <w:rsid w:val="3A526829"/>
    <w:rsid w:val="3A610490"/>
    <w:rsid w:val="3A703D22"/>
    <w:rsid w:val="3B0E75A8"/>
    <w:rsid w:val="3BC417EE"/>
    <w:rsid w:val="3C0C564D"/>
    <w:rsid w:val="3C9D68D5"/>
    <w:rsid w:val="3CC524C6"/>
    <w:rsid w:val="3CCC340E"/>
    <w:rsid w:val="3D093058"/>
    <w:rsid w:val="3D483792"/>
    <w:rsid w:val="3E561D29"/>
    <w:rsid w:val="3E63491E"/>
    <w:rsid w:val="3E6D3687"/>
    <w:rsid w:val="3F0C3993"/>
    <w:rsid w:val="3F575559"/>
    <w:rsid w:val="3F6D60EB"/>
    <w:rsid w:val="3F786ED8"/>
    <w:rsid w:val="3FB03427"/>
    <w:rsid w:val="3FBA6341"/>
    <w:rsid w:val="3FEE6892"/>
    <w:rsid w:val="402E0FCB"/>
    <w:rsid w:val="40697DEF"/>
    <w:rsid w:val="40703E40"/>
    <w:rsid w:val="417F37F2"/>
    <w:rsid w:val="42083B1B"/>
    <w:rsid w:val="421D771A"/>
    <w:rsid w:val="423E6D3B"/>
    <w:rsid w:val="429C278D"/>
    <w:rsid w:val="431539B7"/>
    <w:rsid w:val="43EA5E5E"/>
    <w:rsid w:val="442154AD"/>
    <w:rsid w:val="449D6ED4"/>
    <w:rsid w:val="451E0450"/>
    <w:rsid w:val="45520D91"/>
    <w:rsid w:val="45D81C7F"/>
    <w:rsid w:val="46295A03"/>
    <w:rsid w:val="462A2E00"/>
    <w:rsid w:val="467D53C6"/>
    <w:rsid w:val="469E52CE"/>
    <w:rsid w:val="46B36763"/>
    <w:rsid w:val="46CF2423"/>
    <w:rsid w:val="46DF11D3"/>
    <w:rsid w:val="474078B3"/>
    <w:rsid w:val="47D846B0"/>
    <w:rsid w:val="47F97ACC"/>
    <w:rsid w:val="4810739A"/>
    <w:rsid w:val="48240757"/>
    <w:rsid w:val="482A5C55"/>
    <w:rsid w:val="48566B3C"/>
    <w:rsid w:val="48864F10"/>
    <w:rsid w:val="4921373C"/>
    <w:rsid w:val="49642896"/>
    <w:rsid w:val="49681C33"/>
    <w:rsid w:val="49D90509"/>
    <w:rsid w:val="49FF4A4C"/>
    <w:rsid w:val="4A34534D"/>
    <w:rsid w:val="4A9B332A"/>
    <w:rsid w:val="4AA041B5"/>
    <w:rsid w:val="4B0329D1"/>
    <w:rsid w:val="4B1E4E10"/>
    <w:rsid w:val="4B4B1739"/>
    <w:rsid w:val="4BE11668"/>
    <w:rsid w:val="4BE2046E"/>
    <w:rsid w:val="4BEB4298"/>
    <w:rsid w:val="4BF30A09"/>
    <w:rsid w:val="4C260EAE"/>
    <w:rsid w:val="4C5525DB"/>
    <w:rsid w:val="4C804160"/>
    <w:rsid w:val="4CC03A44"/>
    <w:rsid w:val="4CFC2028"/>
    <w:rsid w:val="4CFE47D7"/>
    <w:rsid w:val="4D2224A6"/>
    <w:rsid w:val="4DA80325"/>
    <w:rsid w:val="4DEA6791"/>
    <w:rsid w:val="4E023689"/>
    <w:rsid w:val="4E0D2791"/>
    <w:rsid w:val="4E5721CA"/>
    <w:rsid w:val="4E8C2F29"/>
    <w:rsid w:val="4F1C209D"/>
    <w:rsid w:val="4F624D4E"/>
    <w:rsid w:val="5053174F"/>
    <w:rsid w:val="50551A6B"/>
    <w:rsid w:val="508A2EE9"/>
    <w:rsid w:val="508E712E"/>
    <w:rsid w:val="50E04D69"/>
    <w:rsid w:val="50EA17FA"/>
    <w:rsid w:val="511569DC"/>
    <w:rsid w:val="514B4EEC"/>
    <w:rsid w:val="51726241"/>
    <w:rsid w:val="529F2ABD"/>
    <w:rsid w:val="52A74EFF"/>
    <w:rsid w:val="52B92EE7"/>
    <w:rsid w:val="52C36154"/>
    <w:rsid w:val="531901F1"/>
    <w:rsid w:val="5344250C"/>
    <w:rsid w:val="541512E6"/>
    <w:rsid w:val="54742712"/>
    <w:rsid w:val="54BE7C19"/>
    <w:rsid w:val="54BF2932"/>
    <w:rsid w:val="54D20D2F"/>
    <w:rsid w:val="554F3ED7"/>
    <w:rsid w:val="55D60028"/>
    <w:rsid w:val="55F07D24"/>
    <w:rsid w:val="56194054"/>
    <w:rsid w:val="567315FF"/>
    <w:rsid w:val="56934970"/>
    <w:rsid w:val="56D86926"/>
    <w:rsid w:val="56FA5260"/>
    <w:rsid w:val="5734162D"/>
    <w:rsid w:val="58611335"/>
    <w:rsid w:val="58EA2DCB"/>
    <w:rsid w:val="59B441D4"/>
    <w:rsid w:val="59E0666A"/>
    <w:rsid w:val="5A1A4696"/>
    <w:rsid w:val="5A51756F"/>
    <w:rsid w:val="5B442FBD"/>
    <w:rsid w:val="5BDA2130"/>
    <w:rsid w:val="5BEE1250"/>
    <w:rsid w:val="5C426519"/>
    <w:rsid w:val="5C4E51B2"/>
    <w:rsid w:val="5CB77152"/>
    <w:rsid w:val="5CD079E5"/>
    <w:rsid w:val="5D4A5DAA"/>
    <w:rsid w:val="5D944513"/>
    <w:rsid w:val="5DE02372"/>
    <w:rsid w:val="5E1D1456"/>
    <w:rsid w:val="5E6B7B53"/>
    <w:rsid w:val="5E8A5D86"/>
    <w:rsid w:val="5EC91EEE"/>
    <w:rsid w:val="5F467788"/>
    <w:rsid w:val="60917251"/>
    <w:rsid w:val="610C7E9D"/>
    <w:rsid w:val="62011D0B"/>
    <w:rsid w:val="62076FEE"/>
    <w:rsid w:val="62123618"/>
    <w:rsid w:val="623A4C8A"/>
    <w:rsid w:val="629007F7"/>
    <w:rsid w:val="62A1223F"/>
    <w:rsid w:val="62A96EB0"/>
    <w:rsid w:val="63751EE0"/>
    <w:rsid w:val="63BF2FFE"/>
    <w:rsid w:val="63D8564E"/>
    <w:rsid w:val="644E737C"/>
    <w:rsid w:val="651452C7"/>
    <w:rsid w:val="655E40F7"/>
    <w:rsid w:val="6561175D"/>
    <w:rsid w:val="65776EE7"/>
    <w:rsid w:val="658D507D"/>
    <w:rsid w:val="6648004F"/>
    <w:rsid w:val="66806DC9"/>
    <w:rsid w:val="66D932E1"/>
    <w:rsid w:val="672106FF"/>
    <w:rsid w:val="67397EC3"/>
    <w:rsid w:val="67416058"/>
    <w:rsid w:val="676C15CF"/>
    <w:rsid w:val="67DD2585"/>
    <w:rsid w:val="67EB75DF"/>
    <w:rsid w:val="6837388E"/>
    <w:rsid w:val="688E01C4"/>
    <w:rsid w:val="68906041"/>
    <w:rsid w:val="6893621A"/>
    <w:rsid w:val="68CD4EFD"/>
    <w:rsid w:val="691D5BD1"/>
    <w:rsid w:val="692E36B1"/>
    <w:rsid w:val="693F7B55"/>
    <w:rsid w:val="69E65C30"/>
    <w:rsid w:val="6A4747BA"/>
    <w:rsid w:val="6B2612CB"/>
    <w:rsid w:val="6BCF1867"/>
    <w:rsid w:val="6BFF1C17"/>
    <w:rsid w:val="6CFA3301"/>
    <w:rsid w:val="6D0248F5"/>
    <w:rsid w:val="6D145DE5"/>
    <w:rsid w:val="6D4E140E"/>
    <w:rsid w:val="6D533C8B"/>
    <w:rsid w:val="6DF20199"/>
    <w:rsid w:val="6E77222B"/>
    <w:rsid w:val="6E825FE4"/>
    <w:rsid w:val="6EFA54D6"/>
    <w:rsid w:val="6F173054"/>
    <w:rsid w:val="6F2F4CAC"/>
    <w:rsid w:val="6F46693D"/>
    <w:rsid w:val="6FB01E93"/>
    <w:rsid w:val="6FCD1FCD"/>
    <w:rsid w:val="6FF13BCE"/>
    <w:rsid w:val="703F40A4"/>
    <w:rsid w:val="70835C4E"/>
    <w:rsid w:val="70B91CB7"/>
    <w:rsid w:val="70EF6AC7"/>
    <w:rsid w:val="70FA3B9D"/>
    <w:rsid w:val="713F6C54"/>
    <w:rsid w:val="71441CEE"/>
    <w:rsid w:val="719D71CB"/>
    <w:rsid w:val="71FC1B28"/>
    <w:rsid w:val="72673E65"/>
    <w:rsid w:val="73DC213A"/>
    <w:rsid w:val="73F76F74"/>
    <w:rsid w:val="74423833"/>
    <w:rsid w:val="74A1738D"/>
    <w:rsid w:val="74E11260"/>
    <w:rsid w:val="753A739B"/>
    <w:rsid w:val="75900674"/>
    <w:rsid w:val="75AB6E72"/>
    <w:rsid w:val="75F36854"/>
    <w:rsid w:val="766D2588"/>
    <w:rsid w:val="77AB6BA5"/>
    <w:rsid w:val="77D338EC"/>
    <w:rsid w:val="780132C5"/>
    <w:rsid w:val="78052A2E"/>
    <w:rsid w:val="78E21FA1"/>
    <w:rsid w:val="792841C7"/>
    <w:rsid w:val="799E680F"/>
    <w:rsid w:val="79D65404"/>
    <w:rsid w:val="79FD0865"/>
    <w:rsid w:val="7A022523"/>
    <w:rsid w:val="7A136690"/>
    <w:rsid w:val="7A2A668B"/>
    <w:rsid w:val="7A486735"/>
    <w:rsid w:val="7ABC11DD"/>
    <w:rsid w:val="7B506314"/>
    <w:rsid w:val="7BB148AB"/>
    <w:rsid w:val="7CBF6C57"/>
    <w:rsid w:val="7D5016AE"/>
    <w:rsid w:val="7E7858C9"/>
    <w:rsid w:val="7E863641"/>
    <w:rsid w:val="7E8873A2"/>
    <w:rsid w:val="7F163126"/>
    <w:rsid w:val="7F406B0A"/>
    <w:rsid w:val="7F55135E"/>
    <w:rsid w:val="7FA5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3"/>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70"/>
    <w:qFormat/>
    <w:uiPriority w:val="0"/>
    <w:pPr>
      <w:keepNext/>
      <w:keepLines/>
      <w:spacing w:before="260" w:after="260" w:line="416" w:lineRule="auto"/>
      <w:outlineLvl w:val="2"/>
    </w:pPr>
    <w:rPr>
      <w:b/>
      <w:bCs/>
      <w:sz w:val="32"/>
      <w:szCs w:val="32"/>
    </w:rPr>
  </w:style>
  <w:style w:type="paragraph" w:styleId="6">
    <w:name w:val="heading 4"/>
    <w:basedOn w:val="1"/>
    <w:next w:val="1"/>
    <w:link w:val="86"/>
    <w:qFormat/>
    <w:uiPriority w:val="0"/>
    <w:pPr>
      <w:keepNext/>
      <w:keepLines/>
      <w:spacing w:before="280" w:after="290" w:line="372" w:lineRule="auto"/>
      <w:outlineLvl w:val="3"/>
    </w:pPr>
    <w:rPr>
      <w:rFonts w:ascii="Arial" w:hAnsi="Arial" w:eastAsia="黑体"/>
      <w:b/>
      <w:sz w:val="24"/>
    </w:rPr>
  </w:style>
  <w:style w:type="paragraph" w:styleId="7">
    <w:name w:val="heading 5"/>
    <w:basedOn w:val="1"/>
    <w:next w:val="1"/>
    <w:qFormat/>
    <w:uiPriority w:val="0"/>
    <w:pPr>
      <w:keepNext/>
      <w:keepLines/>
      <w:spacing w:beforeLines="50" w:afterLines="50" w:line="360" w:lineRule="auto"/>
      <w:jc w:val="left"/>
      <w:outlineLvl w:val="4"/>
    </w:pPr>
    <w:rPr>
      <w:rFonts w:ascii="宋体" w:hAnsi="宋体"/>
      <w:b/>
      <w:bCs/>
      <w:sz w:val="28"/>
      <w:szCs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pPr>
    <w:rPr>
      <w:rFonts w:ascii="Cambria" w:hAnsi="Cambria"/>
      <w:sz w:val="32"/>
      <w:szCs w:val="32"/>
    </w:rPr>
  </w:style>
  <w:style w:type="paragraph" w:styleId="8">
    <w:name w:val="List Bullet 4"/>
    <w:basedOn w:val="1"/>
    <w:qFormat/>
    <w:uiPriority w:val="0"/>
    <w:pPr>
      <w:numPr>
        <w:ilvl w:val="0"/>
        <w:numId w:val="1"/>
      </w:numPr>
      <w:tabs>
        <w:tab w:val="left" w:pos="1620"/>
      </w:tabs>
      <w:ind w:left="1620" w:leftChars="600"/>
    </w:pPr>
    <w:rPr>
      <w:szCs w:val="24"/>
    </w:rPr>
  </w:style>
  <w:style w:type="paragraph" w:styleId="9">
    <w:name w:val="Normal Indent"/>
    <w:basedOn w:val="1"/>
    <w:link w:val="141"/>
    <w:qFormat/>
    <w:uiPriority w:val="0"/>
    <w:pPr>
      <w:ind w:firstLine="420"/>
    </w:pPr>
  </w:style>
  <w:style w:type="paragraph" w:styleId="10">
    <w:name w:val="Document Map"/>
    <w:basedOn w:val="1"/>
    <w:link w:val="123"/>
    <w:qFormat/>
    <w:uiPriority w:val="0"/>
    <w:rPr>
      <w:rFonts w:ascii="宋体"/>
      <w:sz w:val="18"/>
      <w:szCs w:val="18"/>
    </w:rPr>
  </w:style>
  <w:style w:type="paragraph" w:styleId="11">
    <w:name w:val="annotation text"/>
    <w:basedOn w:val="1"/>
    <w:link w:val="91"/>
    <w:qFormat/>
    <w:uiPriority w:val="0"/>
    <w:pPr>
      <w:jc w:val="left"/>
    </w:pPr>
  </w:style>
  <w:style w:type="paragraph" w:styleId="12">
    <w:name w:val="Body Text"/>
    <w:basedOn w:val="1"/>
    <w:link w:val="102"/>
    <w:qFormat/>
    <w:uiPriority w:val="0"/>
    <w:pPr>
      <w:spacing w:after="120"/>
    </w:pPr>
    <w:rPr>
      <w:sz w:val="24"/>
      <w:szCs w:val="24"/>
    </w:rPr>
  </w:style>
  <w:style w:type="paragraph" w:styleId="13">
    <w:name w:val="Body Text Indent"/>
    <w:basedOn w:val="1"/>
    <w:link w:val="44"/>
    <w:qFormat/>
    <w:uiPriority w:val="0"/>
    <w:pPr>
      <w:spacing w:after="120" w:line="360" w:lineRule="auto"/>
      <w:ind w:left="420" w:leftChars="200" w:firstLine="200" w:firstLineChars="200"/>
    </w:pPr>
    <w:rPr>
      <w:sz w:val="24"/>
    </w:rPr>
  </w:style>
  <w:style w:type="paragraph" w:styleId="14">
    <w:name w:val="List Number 3"/>
    <w:basedOn w:val="1"/>
    <w:qFormat/>
    <w:uiPriority w:val="0"/>
    <w:pPr>
      <w:tabs>
        <w:tab w:val="left" w:pos="1200"/>
      </w:tabs>
      <w:ind w:left="1200" w:leftChars="400" w:hanging="420"/>
    </w:pPr>
    <w:rPr>
      <w:szCs w:val="24"/>
    </w:rPr>
  </w:style>
  <w:style w:type="paragraph" w:styleId="15">
    <w:name w:val="toc 3"/>
    <w:basedOn w:val="1"/>
    <w:next w:val="1"/>
    <w:qFormat/>
    <w:uiPriority w:val="0"/>
    <w:pPr>
      <w:widowControl/>
      <w:spacing w:after="100" w:line="276" w:lineRule="auto"/>
      <w:ind w:left="440"/>
      <w:jc w:val="left"/>
    </w:pPr>
    <w:rPr>
      <w:kern w:val="0"/>
      <w:sz w:val="22"/>
    </w:rPr>
  </w:style>
  <w:style w:type="paragraph" w:styleId="16">
    <w:name w:val="Plain Text"/>
    <w:basedOn w:val="1"/>
    <w:link w:val="124"/>
    <w:qFormat/>
    <w:uiPriority w:val="0"/>
    <w:rPr>
      <w:rFonts w:ascii="宋体" w:hAnsi="Courier New" w:cs="Courier New"/>
      <w:szCs w:val="21"/>
    </w:rPr>
  </w:style>
  <w:style w:type="paragraph" w:styleId="17">
    <w:name w:val="endnote text"/>
    <w:basedOn w:val="1"/>
    <w:link w:val="112"/>
    <w:qFormat/>
    <w:uiPriority w:val="0"/>
    <w:pPr>
      <w:snapToGrid w:val="0"/>
      <w:jc w:val="left"/>
    </w:pPr>
  </w:style>
  <w:style w:type="paragraph" w:styleId="18">
    <w:name w:val="Balloon Text"/>
    <w:basedOn w:val="1"/>
    <w:link w:val="99"/>
    <w:qFormat/>
    <w:uiPriority w:val="0"/>
    <w:rPr>
      <w:sz w:val="18"/>
      <w:szCs w:val="18"/>
    </w:rPr>
  </w:style>
  <w:style w:type="paragraph" w:styleId="19">
    <w:name w:val="footer"/>
    <w:basedOn w:val="1"/>
    <w:link w:val="73"/>
    <w:qFormat/>
    <w:uiPriority w:val="99"/>
    <w:pPr>
      <w:tabs>
        <w:tab w:val="center" w:pos="4153"/>
        <w:tab w:val="right" w:pos="8306"/>
      </w:tabs>
      <w:snapToGrid w:val="0"/>
      <w:jc w:val="left"/>
    </w:pPr>
    <w:rPr>
      <w:sz w:val="18"/>
      <w:szCs w:val="18"/>
    </w:rPr>
  </w:style>
  <w:style w:type="paragraph" w:styleId="20">
    <w:name w:val="header"/>
    <w:basedOn w:val="1"/>
    <w:link w:val="108"/>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22"/>
    <w:next w:val="3"/>
    <w:qFormat/>
    <w:uiPriority w:val="39"/>
    <w:pPr>
      <w:widowControl/>
      <w:spacing w:line="440" w:lineRule="exact"/>
      <w:jc w:val="left"/>
    </w:pPr>
    <w:rPr>
      <w:rFonts w:eastAsia="黑体"/>
      <w:b/>
      <w:i w:val="0"/>
      <w:kern w:val="0"/>
      <w:sz w:val="28"/>
    </w:rPr>
  </w:style>
  <w:style w:type="paragraph" w:customStyle="1" w:styleId="22">
    <w:name w:val="Quote"/>
    <w:basedOn w:val="1"/>
    <w:next w:val="1"/>
    <w:link w:val="140"/>
    <w:qFormat/>
    <w:uiPriority w:val="0"/>
    <w:rPr>
      <w:i/>
      <w:iCs/>
      <w:color w:val="000000"/>
    </w:rPr>
  </w:style>
  <w:style w:type="paragraph" w:styleId="23">
    <w:name w:val="Subtitle"/>
    <w:basedOn w:val="1"/>
    <w:next w:val="1"/>
    <w:link w:val="136"/>
    <w:qFormat/>
    <w:uiPriority w:val="0"/>
    <w:pPr>
      <w:spacing w:before="240" w:after="60" w:line="312" w:lineRule="auto"/>
      <w:jc w:val="center"/>
      <w:outlineLvl w:val="1"/>
    </w:pPr>
    <w:rPr>
      <w:rFonts w:ascii="Cambria" w:hAnsi="Cambria"/>
      <w:b/>
      <w:bCs/>
      <w:kern w:val="28"/>
      <w:sz w:val="32"/>
      <w:szCs w:val="32"/>
    </w:rPr>
  </w:style>
  <w:style w:type="paragraph" w:styleId="24">
    <w:name w:val="toc 2"/>
    <w:basedOn w:val="22"/>
    <w:next w:val="4"/>
    <w:qFormat/>
    <w:uiPriority w:val="39"/>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styleId="25">
    <w:name w:val="HTML Preformatted"/>
    <w:basedOn w:val="1"/>
    <w:link w:val="1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26">
    <w:name w:val="Normal (Web)"/>
    <w:basedOn w:val="1"/>
    <w:qFormat/>
    <w:uiPriority w:val="0"/>
    <w:pPr>
      <w:spacing w:beforeAutospacing="1" w:afterAutospacing="1"/>
      <w:jc w:val="left"/>
    </w:pPr>
    <w:rPr>
      <w:rFonts w:ascii="Times New Roman" w:hAnsi="Times New Roman"/>
      <w:kern w:val="0"/>
      <w:sz w:val="24"/>
      <w:szCs w:val="21"/>
    </w:rPr>
  </w:style>
  <w:style w:type="paragraph" w:styleId="27">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8">
    <w:name w:val="annotation subject"/>
    <w:basedOn w:val="11"/>
    <w:next w:val="11"/>
    <w:link w:val="132"/>
    <w:qFormat/>
    <w:uiPriority w:val="0"/>
    <w:rPr>
      <w:b/>
      <w:bCs/>
    </w:rPr>
  </w:style>
  <w:style w:type="paragraph" w:styleId="29">
    <w:name w:val="Body Text First Indent"/>
    <w:basedOn w:val="12"/>
    <w:qFormat/>
    <w:uiPriority w:val="0"/>
    <w:pPr>
      <w:ind w:firstLine="976" w:firstLineChars="200"/>
    </w:pPr>
  </w:style>
  <w:style w:type="paragraph" w:styleId="30">
    <w:name w:val="Body Text First Indent 2"/>
    <w:basedOn w:val="13"/>
    <w:link w:val="89"/>
    <w:qFormat/>
    <w:uiPriority w:val="0"/>
    <w:pPr>
      <w:ind w:firstLine="420"/>
    </w:pPr>
    <w:rPr>
      <w:rFonts w:ascii="Tahoma" w:hAnsi="Tahoma"/>
      <w:sz w:val="21"/>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0"/>
    <w:rPr>
      <w:b/>
    </w:rPr>
  </w:style>
  <w:style w:type="character" w:styleId="35">
    <w:name w:val="endnote reference"/>
    <w:qFormat/>
    <w:uiPriority w:val="0"/>
    <w:rPr>
      <w:vertAlign w:val="superscript"/>
    </w:rPr>
  </w:style>
  <w:style w:type="character" w:styleId="36">
    <w:name w:val="FollowedHyperlink"/>
    <w:qFormat/>
    <w:uiPriority w:val="0"/>
    <w:rPr>
      <w:color w:val="333333"/>
      <w:u w:val="none"/>
    </w:rPr>
  </w:style>
  <w:style w:type="character" w:styleId="37">
    <w:name w:val="Emphasis"/>
    <w:qFormat/>
    <w:uiPriority w:val="0"/>
  </w:style>
  <w:style w:type="character" w:styleId="38">
    <w:name w:val="Hyperlink"/>
    <w:qFormat/>
    <w:uiPriority w:val="99"/>
    <w:rPr>
      <w:color w:val="333333"/>
      <w:u w:val="none"/>
    </w:rPr>
  </w:style>
  <w:style w:type="character" w:styleId="39">
    <w:name w:val="annotation reference"/>
    <w:qFormat/>
    <w:uiPriority w:val="0"/>
    <w:rPr>
      <w:sz w:val="21"/>
    </w:rPr>
  </w:style>
  <w:style w:type="paragraph" w:customStyle="1" w:styleId="40">
    <w:name w:val="标题 5（有编号）（绿盟科技）"/>
    <w:basedOn w:val="1"/>
    <w:next w:val="41"/>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4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42">
    <w:name w:val="样式1"/>
    <w:basedOn w:val="3"/>
    <w:next w:val="1"/>
    <w:link w:val="97"/>
    <w:qFormat/>
    <w:uiPriority w:val="0"/>
    <w:pPr>
      <w:spacing w:before="240" w:after="120"/>
      <w:jc w:val="center"/>
    </w:pPr>
    <w:rPr>
      <w:rFonts w:ascii="黑体" w:hAnsi="黑体" w:eastAsia="黑体"/>
      <w:b w:val="0"/>
      <w:bCs w:val="0"/>
    </w:rPr>
  </w:style>
  <w:style w:type="character" w:customStyle="1" w:styleId="43">
    <w:name w:val="正文首行缩进 2 字符1"/>
    <w:basedOn w:val="44"/>
    <w:qFormat/>
    <w:uiPriority w:val="0"/>
    <w:rPr>
      <w:rFonts w:ascii="Calibri" w:hAnsi="Calibri"/>
      <w:kern w:val="2"/>
      <w:sz w:val="24"/>
      <w:szCs w:val="22"/>
    </w:rPr>
  </w:style>
  <w:style w:type="character" w:customStyle="1" w:styleId="44">
    <w:name w:val="正文文本缩进 Char"/>
    <w:link w:val="13"/>
    <w:qFormat/>
    <w:uiPriority w:val="0"/>
    <w:rPr>
      <w:rFonts w:ascii="Calibri" w:hAnsi="Calibri"/>
      <w:kern w:val="2"/>
      <w:sz w:val="24"/>
      <w:szCs w:val="22"/>
    </w:rPr>
  </w:style>
  <w:style w:type="character" w:customStyle="1" w:styleId="45">
    <w:name w:val="disabled14"/>
    <w:qFormat/>
    <w:uiPriority w:val="0"/>
    <w:rPr>
      <w:color w:val="CCCCCC"/>
      <w:bdr w:val="single" w:color="F3F3F3" w:sz="6" w:space="0"/>
    </w:rPr>
  </w:style>
  <w:style w:type="character" w:customStyle="1" w:styleId="46">
    <w:name w:val="页码1"/>
    <w:basedOn w:val="33"/>
    <w:qFormat/>
    <w:uiPriority w:val="0"/>
  </w:style>
  <w:style w:type="character" w:customStyle="1" w:styleId="47">
    <w:name w:val="disabled"/>
    <w:qFormat/>
    <w:uiPriority w:val="0"/>
    <w:rPr>
      <w:color w:val="808080"/>
      <w:bdr w:val="single" w:color="606060" w:sz="6" w:space="0"/>
    </w:rPr>
  </w:style>
  <w:style w:type="character" w:customStyle="1" w:styleId="48">
    <w:name w:val="current"/>
    <w:qFormat/>
    <w:uiPriority w:val="0"/>
    <w:rPr>
      <w:b/>
      <w:color w:val="FFFFFF"/>
      <w:bdr w:val="single" w:color="FFFFFF" w:sz="6" w:space="0"/>
      <w:shd w:val="clear" w:color="auto" w:fill="606060"/>
    </w:rPr>
  </w:style>
  <w:style w:type="character" w:customStyle="1" w:styleId="49">
    <w:name w:val="bsharetext"/>
    <w:basedOn w:val="33"/>
    <w:qFormat/>
    <w:uiPriority w:val="0"/>
  </w:style>
  <w:style w:type="character" w:customStyle="1" w:styleId="50">
    <w:name w:val="批注主题 Char1"/>
    <w:link w:val="51"/>
    <w:qFormat/>
    <w:uiPriority w:val="0"/>
    <w:rPr>
      <w:rFonts w:ascii="Calibri" w:hAnsi="Calibri" w:eastAsia="宋体" w:cs="Times New Roman"/>
      <w:b/>
      <w:bCs/>
    </w:rPr>
  </w:style>
  <w:style w:type="paragraph" w:customStyle="1" w:styleId="51">
    <w:name w:val="批注主题2"/>
    <w:basedOn w:val="11"/>
    <w:next w:val="11"/>
    <w:link w:val="50"/>
    <w:qFormat/>
    <w:uiPriority w:val="0"/>
    <w:rPr>
      <w:b/>
      <w:bCs/>
    </w:rPr>
  </w:style>
  <w:style w:type="character" w:customStyle="1" w:styleId="52">
    <w:name w:val="disabled10"/>
    <w:qFormat/>
    <w:uiPriority w:val="0"/>
    <w:rPr>
      <w:color w:val="DDDDDD"/>
      <w:bdr w:val="single" w:color="EEEEEE" w:sz="6" w:space="0"/>
    </w:rPr>
  </w:style>
  <w:style w:type="character" w:customStyle="1" w:styleId="53">
    <w:name w:val="disabled17"/>
    <w:qFormat/>
    <w:uiPriority w:val="0"/>
    <w:rPr>
      <w:color w:val="DDDDDD"/>
      <w:bdr w:val="single" w:color="EEEEEE" w:sz="6" w:space="0"/>
    </w:rPr>
  </w:style>
  <w:style w:type="character" w:customStyle="1" w:styleId="54">
    <w:name w:val="列表段落 字符"/>
    <w:qFormat/>
    <w:uiPriority w:val="34"/>
    <w:rPr>
      <w:kern w:val="2"/>
      <w:sz w:val="21"/>
      <w:szCs w:val="24"/>
    </w:rPr>
  </w:style>
  <w:style w:type="character" w:customStyle="1" w:styleId="55">
    <w:name w:val="disabled4"/>
    <w:qFormat/>
    <w:uiPriority w:val="0"/>
    <w:rPr>
      <w:vanish/>
    </w:rPr>
  </w:style>
  <w:style w:type="character" w:customStyle="1" w:styleId="56">
    <w:name w:val="current17"/>
    <w:qFormat/>
    <w:uiPriority w:val="0"/>
    <w:rPr>
      <w:b/>
      <w:color w:val="FFFFFF"/>
      <w:bdr w:val="single" w:color="D9D300" w:sz="6" w:space="0"/>
      <w:shd w:val="clear" w:color="auto" w:fill="D9D300"/>
    </w:rPr>
  </w:style>
  <w:style w:type="character" w:customStyle="1" w:styleId="57">
    <w:name w:val="disabled19"/>
    <w:qFormat/>
    <w:uiPriority w:val="0"/>
    <w:rPr>
      <w:vanish/>
    </w:rPr>
  </w:style>
  <w:style w:type="character" w:customStyle="1" w:styleId="58">
    <w:name w:val="disabled15"/>
    <w:qFormat/>
    <w:uiPriority w:val="0"/>
    <w:rPr>
      <w:color w:val="333333"/>
      <w:bdr w:val="single" w:color="CCCCCC" w:sz="6" w:space="0"/>
    </w:rPr>
  </w:style>
  <w:style w:type="character" w:customStyle="1" w:styleId="59">
    <w:name w:val="layui-layer-tabnow"/>
    <w:qFormat/>
    <w:uiPriority w:val="0"/>
    <w:rPr>
      <w:bdr w:val="single" w:color="CCCCCC" w:sz="6" w:space="0"/>
      <w:shd w:val="clear" w:color="auto" w:fill="FFFFFF"/>
    </w:rPr>
  </w:style>
  <w:style w:type="character" w:customStyle="1" w:styleId="60">
    <w:name w:val="disabled9"/>
    <w:qFormat/>
    <w:uiPriority w:val="0"/>
    <w:rPr>
      <w:color w:val="CCCCCC"/>
      <w:bdr w:val="single" w:color="F3F3F3" w:sz="6" w:space="0"/>
    </w:rPr>
  </w:style>
  <w:style w:type="character" w:customStyle="1" w:styleId="61">
    <w:name w:val="current12"/>
    <w:qFormat/>
    <w:uiPriority w:val="0"/>
    <w:rPr>
      <w:b/>
      <w:color w:val="000000"/>
      <w:bdr w:val="single" w:color="FFFFFF" w:sz="6" w:space="0"/>
      <w:shd w:val="clear" w:color="auto" w:fill="FFFFFF"/>
    </w:rPr>
  </w:style>
  <w:style w:type="character" w:customStyle="1" w:styleId="62">
    <w:name w:val="disabled7"/>
    <w:qFormat/>
    <w:uiPriority w:val="0"/>
    <w:rPr>
      <w:vanish/>
    </w:rPr>
  </w:style>
  <w:style w:type="character" w:customStyle="1" w:styleId="63">
    <w:name w:val="标题 2 Char"/>
    <w:link w:val="4"/>
    <w:qFormat/>
    <w:uiPriority w:val="0"/>
    <w:rPr>
      <w:rFonts w:ascii="Cambria" w:hAnsi="Cambria" w:eastAsia="宋体" w:cs="Times New Roman"/>
      <w:b/>
      <w:bCs/>
      <w:sz w:val="32"/>
      <w:szCs w:val="32"/>
    </w:rPr>
  </w:style>
  <w:style w:type="character" w:customStyle="1" w:styleId="64">
    <w:name w:val="样式5 字符"/>
    <w:link w:val="65"/>
    <w:qFormat/>
    <w:uiPriority w:val="0"/>
    <w:rPr>
      <w:rFonts w:ascii="宋体" w:hAnsi="宋体"/>
      <w:color w:val="000000"/>
      <w:kern w:val="2"/>
      <w:sz w:val="32"/>
      <w:szCs w:val="32"/>
    </w:rPr>
  </w:style>
  <w:style w:type="paragraph" w:customStyle="1" w:styleId="65">
    <w:name w:val="样式5"/>
    <w:basedOn w:val="66"/>
    <w:link w:val="64"/>
    <w:qFormat/>
    <w:uiPriority w:val="0"/>
    <w:pPr>
      <w:numPr>
        <w:numId w:val="3"/>
      </w:numPr>
    </w:pPr>
    <w:rPr>
      <w:b w:val="0"/>
      <w:bCs w:val="0"/>
      <w:color w:val="000000"/>
    </w:rPr>
  </w:style>
  <w:style w:type="paragraph" w:customStyle="1" w:styleId="66">
    <w:name w:val="样式4"/>
    <w:basedOn w:val="1"/>
    <w:link w:val="110"/>
    <w:qFormat/>
    <w:uiPriority w:val="0"/>
    <w:pPr>
      <w:keepNext/>
      <w:keepLines/>
      <w:numPr>
        <w:ilvl w:val="0"/>
        <w:numId w:val="4"/>
      </w:numPr>
      <w:spacing w:line="360" w:lineRule="auto"/>
      <w:jc w:val="left"/>
      <w:outlineLvl w:val="1"/>
    </w:pPr>
    <w:rPr>
      <w:rFonts w:ascii="宋体" w:hAnsi="宋体"/>
      <w:b/>
      <w:bCs/>
      <w:sz w:val="32"/>
      <w:szCs w:val="32"/>
    </w:rPr>
  </w:style>
  <w:style w:type="character" w:customStyle="1" w:styleId="67">
    <w:name w:val="纯文本 Char2"/>
    <w:qFormat/>
    <w:uiPriority w:val="0"/>
    <w:rPr>
      <w:rFonts w:ascii="宋体" w:hAnsi="Courier New" w:cs="Courier New"/>
      <w:kern w:val="2"/>
      <w:sz w:val="21"/>
      <w:szCs w:val="21"/>
    </w:rPr>
  </w:style>
  <w:style w:type="character" w:customStyle="1" w:styleId="68">
    <w:name w:val="批注框文本 Char Char Char Char"/>
    <w:link w:val="69"/>
    <w:qFormat/>
    <w:uiPriority w:val="0"/>
    <w:rPr>
      <w:rFonts w:ascii="Times New Roman" w:hAnsi="Times New Roman" w:eastAsia="宋体" w:cs="Times New Roman"/>
      <w:kern w:val="0"/>
      <w:sz w:val="18"/>
      <w:szCs w:val="18"/>
    </w:rPr>
  </w:style>
  <w:style w:type="paragraph" w:customStyle="1" w:styleId="69">
    <w:name w:val="批注框文本 Char Char"/>
    <w:basedOn w:val="1"/>
    <w:link w:val="68"/>
    <w:qFormat/>
    <w:uiPriority w:val="0"/>
    <w:rPr>
      <w:rFonts w:ascii="Times New Roman" w:hAnsi="Times New Roman"/>
      <w:kern w:val="0"/>
      <w:sz w:val="18"/>
      <w:szCs w:val="18"/>
    </w:rPr>
  </w:style>
  <w:style w:type="character" w:customStyle="1" w:styleId="70">
    <w:name w:val="标题 3 Char"/>
    <w:link w:val="5"/>
    <w:qFormat/>
    <w:uiPriority w:val="0"/>
    <w:rPr>
      <w:b/>
      <w:bCs/>
      <w:sz w:val="32"/>
      <w:szCs w:val="32"/>
    </w:rPr>
  </w:style>
  <w:style w:type="character" w:customStyle="1" w:styleId="71">
    <w:name w:val="current18"/>
    <w:qFormat/>
    <w:uiPriority w:val="0"/>
    <w:rPr>
      <w:color w:val="6D643C"/>
      <w:shd w:val="clear" w:color="auto" w:fill="F6EFCC"/>
    </w:rPr>
  </w:style>
  <w:style w:type="character" w:customStyle="1" w:styleId="72">
    <w:name w:val="disabled13"/>
    <w:qFormat/>
    <w:uiPriority w:val="0"/>
    <w:rPr>
      <w:color w:val="FFE3C6"/>
      <w:bdr w:val="single" w:color="FFE3C6" w:sz="6" w:space="0"/>
    </w:rPr>
  </w:style>
  <w:style w:type="character" w:customStyle="1" w:styleId="73">
    <w:name w:val="页脚 Char"/>
    <w:link w:val="19"/>
    <w:qFormat/>
    <w:uiPriority w:val="99"/>
    <w:rPr>
      <w:sz w:val="18"/>
      <w:szCs w:val="18"/>
    </w:rPr>
  </w:style>
  <w:style w:type="character" w:customStyle="1" w:styleId="74">
    <w:name w:val="current21"/>
    <w:qFormat/>
    <w:uiPriority w:val="0"/>
    <w:rPr>
      <w:b/>
      <w:color w:val="FFFFFF"/>
      <w:bdr w:val="single" w:color="FF5A00" w:sz="12" w:space="0"/>
      <w:shd w:val="clear" w:color="auto" w:fill="FF6C16"/>
    </w:rPr>
  </w:style>
  <w:style w:type="character" w:customStyle="1" w:styleId="75">
    <w:name w:val="样式 正文缩进 + 首行缩进:  2 字符 Char Char"/>
    <w:link w:val="76"/>
    <w:qFormat/>
    <w:uiPriority w:val="0"/>
    <w:rPr>
      <w:kern w:val="2"/>
      <w:sz w:val="24"/>
      <w:lang w:val="zh-CN"/>
    </w:rPr>
  </w:style>
  <w:style w:type="paragraph" w:customStyle="1" w:styleId="76">
    <w:name w:val="样式 正文缩进 + 首行缩进:  2 字符"/>
    <w:basedOn w:val="9"/>
    <w:link w:val="75"/>
    <w:qFormat/>
    <w:uiPriority w:val="0"/>
    <w:pPr>
      <w:spacing w:line="360" w:lineRule="auto"/>
      <w:ind w:firstLine="200" w:firstLineChars="200"/>
    </w:pPr>
    <w:rPr>
      <w:sz w:val="24"/>
      <w:lang w:val="zh-CN"/>
    </w:rPr>
  </w:style>
  <w:style w:type="character" w:customStyle="1" w:styleId="77">
    <w:name w:val="current20"/>
    <w:qFormat/>
    <w:uiPriority w:val="0"/>
    <w:rPr>
      <w:b/>
      <w:color w:val="99210B"/>
    </w:rPr>
  </w:style>
  <w:style w:type="character" w:customStyle="1" w:styleId="78">
    <w:name w:val="disabled8"/>
    <w:qFormat/>
    <w:uiPriority w:val="0"/>
    <w:rPr>
      <w:color w:val="CCCCCC"/>
      <w:bdr w:val="single" w:color="F3F3F3" w:sz="6" w:space="0"/>
    </w:rPr>
  </w:style>
  <w:style w:type="character" w:customStyle="1" w:styleId="79">
    <w:name w:val="current11"/>
    <w:qFormat/>
    <w:uiPriority w:val="0"/>
    <w:rPr>
      <w:b/>
      <w:color w:val="303030"/>
      <w:shd w:val="clear" w:color="auto" w:fill="FFFFFF"/>
    </w:rPr>
  </w:style>
  <w:style w:type="character" w:customStyle="1" w:styleId="80">
    <w:name w:val="current5"/>
    <w:qFormat/>
    <w:uiPriority w:val="0"/>
    <w:rPr>
      <w:b/>
      <w:color w:val="FF0084"/>
    </w:rPr>
  </w:style>
  <w:style w:type="character" w:customStyle="1" w:styleId="81">
    <w:name w:val="current7"/>
    <w:qFormat/>
    <w:uiPriority w:val="0"/>
    <w:rPr>
      <w:b/>
      <w:color w:val="000000"/>
    </w:rPr>
  </w:style>
  <w:style w:type="character" w:customStyle="1" w:styleId="82">
    <w:name w:val="正文文本首行缩进 2 字符"/>
    <w:qFormat/>
    <w:uiPriority w:val="0"/>
    <w:rPr>
      <w:kern w:val="2"/>
      <w:sz w:val="24"/>
      <w:szCs w:val="22"/>
    </w:rPr>
  </w:style>
  <w:style w:type="character" w:customStyle="1" w:styleId="83">
    <w:name w:val="current6"/>
    <w:qFormat/>
    <w:uiPriority w:val="0"/>
    <w:rPr>
      <w:b/>
      <w:color w:val="FFFFFF"/>
      <w:shd w:val="clear" w:color="auto" w:fill="000000"/>
    </w:rPr>
  </w:style>
  <w:style w:type="character" w:customStyle="1" w:styleId="84">
    <w:name w:val="disabled5"/>
    <w:qFormat/>
    <w:uiPriority w:val="0"/>
    <w:rPr>
      <w:color w:val="ADAAAD"/>
    </w:rPr>
  </w:style>
  <w:style w:type="character" w:customStyle="1" w:styleId="85">
    <w:name w:val="页码11"/>
    <w:qFormat/>
    <w:uiPriority w:val="0"/>
    <w:rPr>
      <w:rFonts w:ascii="Times New Roman" w:cs="Times New Roman"/>
      <w:sz w:val="24"/>
    </w:rPr>
  </w:style>
  <w:style w:type="character" w:customStyle="1" w:styleId="86">
    <w:name w:val="标题 4 Char"/>
    <w:link w:val="6"/>
    <w:qFormat/>
    <w:uiPriority w:val="0"/>
    <w:rPr>
      <w:rFonts w:ascii="Arial" w:hAnsi="Arial" w:eastAsia="黑体"/>
      <w:b/>
      <w:kern w:val="2"/>
      <w:sz w:val="24"/>
      <w:szCs w:val="22"/>
    </w:rPr>
  </w:style>
  <w:style w:type="character" w:customStyle="1" w:styleId="87">
    <w:name w:val="disabled2"/>
    <w:qFormat/>
    <w:uiPriority w:val="0"/>
    <w:rPr>
      <w:vanish/>
    </w:rPr>
  </w:style>
  <w:style w:type="character" w:customStyle="1" w:styleId="88">
    <w:name w:val="disabled11"/>
    <w:qFormat/>
    <w:uiPriority w:val="0"/>
    <w:rPr>
      <w:color w:val="797979"/>
      <w:shd w:val="clear" w:color="auto" w:fill="C1C1C1"/>
    </w:rPr>
  </w:style>
  <w:style w:type="character" w:customStyle="1" w:styleId="89">
    <w:name w:val="正文首行缩进 2 Char"/>
    <w:link w:val="30"/>
    <w:qFormat/>
    <w:uiPriority w:val="0"/>
    <w:rPr>
      <w:rFonts w:ascii="Tahoma" w:hAnsi="Tahoma"/>
      <w:kern w:val="2"/>
      <w:sz w:val="21"/>
    </w:rPr>
  </w:style>
  <w:style w:type="character" w:customStyle="1" w:styleId="90">
    <w:name w:val="disabled12"/>
    <w:qFormat/>
    <w:uiPriority w:val="0"/>
    <w:rPr>
      <w:color w:val="DDDDDD"/>
      <w:bdr w:val="single" w:color="EEEEEE" w:sz="6" w:space="0"/>
    </w:rPr>
  </w:style>
  <w:style w:type="character" w:customStyle="1" w:styleId="91">
    <w:name w:val="批注文字 Char"/>
    <w:basedOn w:val="33"/>
    <w:link w:val="11"/>
    <w:qFormat/>
    <w:uiPriority w:val="0"/>
  </w:style>
  <w:style w:type="character" w:customStyle="1" w:styleId="92">
    <w:name w:val="current8"/>
    <w:qFormat/>
    <w:uiPriority w:val="0"/>
    <w:rPr>
      <w:b/>
      <w:color w:val="FFFFFF"/>
      <w:bdr w:val="single" w:color="B2E05D" w:sz="6" w:space="0"/>
      <w:shd w:val="clear" w:color="auto" w:fill="B2E05D"/>
    </w:rPr>
  </w:style>
  <w:style w:type="character" w:customStyle="1" w:styleId="93">
    <w:name w:val="列出段落 Char"/>
    <w:link w:val="94"/>
    <w:qFormat/>
    <w:uiPriority w:val="0"/>
  </w:style>
  <w:style w:type="paragraph" w:customStyle="1" w:styleId="94">
    <w:name w:val="List Paragraph"/>
    <w:basedOn w:val="1"/>
    <w:link w:val="93"/>
    <w:qFormat/>
    <w:uiPriority w:val="34"/>
    <w:pPr>
      <w:ind w:firstLine="420" w:firstLineChars="200"/>
    </w:pPr>
  </w:style>
  <w:style w:type="character" w:customStyle="1" w:styleId="95">
    <w:name w:val="current13"/>
    <w:qFormat/>
    <w:uiPriority w:val="0"/>
    <w:rPr>
      <w:b/>
      <w:color w:val="FF6500"/>
      <w:bdr w:val="single" w:color="FF6500" w:sz="6" w:space="0"/>
      <w:shd w:val="clear" w:color="auto" w:fill="FFBE94"/>
    </w:rPr>
  </w:style>
  <w:style w:type="character" w:customStyle="1" w:styleId="96">
    <w:name w:val="disabled3"/>
    <w:qFormat/>
    <w:uiPriority w:val="0"/>
    <w:rPr>
      <w:vanish/>
    </w:rPr>
  </w:style>
  <w:style w:type="character" w:customStyle="1" w:styleId="97">
    <w:name w:val="样式1 字符"/>
    <w:link w:val="42"/>
    <w:qFormat/>
    <w:uiPriority w:val="0"/>
    <w:rPr>
      <w:rFonts w:ascii="黑体" w:hAnsi="黑体" w:eastAsia="黑体"/>
      <w:b/>
      <w:bCs/>
      <w:kern w:val="44"/>
      <w:sz w:val="44"/>
      <w:szCs w:val="44"/>
    </w:rPr>
  </w:style>
  <w:style w:type="character" w:customStyle="1" w:styleId="98">
    <w:name w:val="current1"/>
    <w:qFormat/>
    <w:uiPriority w:val="0"/>
    <w:rPr>
      <w:b/>
      <w:color w:val="FFFFFF"/>
      <w:bdr w:val="single" w:color="000080" w:sz="6" w:space="0"/>
      <w:shd w:val="clear" w:color="auto" w:fill="2E6AB1"/>
    </w:rPr>
  </w:style>
  <w:style w:type="character" w:customStyle="1" w:styleId="99">
    <w:name w:val="批注框文本 Char"/>
    <w:link w:val="18"/>
    <w:qFormat/>
    <w:uiPriority w:val="0"/>
    <w:rPr>
      <w:sz w:val="18"/>
      <w:szCs w:val="18"/>
    </w:rPr>
  </w:style>
  <w:style w:type="character" w:customStyle="1" w:styleId="100">
    <w:name w:val="disabled6"/>
    <w:qFormat/>
    <w:uiPriority w:val="0"/>
    <w:rPr>
      <w:color w:val="444444"/>
      <w:shd w:val="clear" w:color="auto" w:fill="000000"/>
    </w:rPr>
  </w:style>
  <w:style w:type="character" w:customStyle="1" w:styleId="101">
    <w:name w:val="current4"/>
    <w:qFormat/>
    <w:uiPriority w:val="0"/>
    <w:rPr>
      <w:color w:val="000000"/>
      <w:shd w:val="clear" w:color="auto" w:fill="FFFFFF"/>
    </w:rPr>
  </w:style>
  <w:style w:type="character" w:customStyle="1" w:styleId="102">
    <w:name w:val="正文文本 Char"/>
    <w:link w:val="12"/>
    <w:qFormat/>
    <w:uiPriority w:val="0"/>
    <w:rPr>
      <w:sz w:val="24"/>
      <w:szCs w:val="24"/>
    </w:rPr>
  </w:style>
  <w:style w:type="character" w:customStyle="1" w:styleId="103">
    <w:name w:val="disabled16"/>
    <w:qFormat/>
    <w:uiPriority w:val="0"/>
    <w:rPr>
      <w:color w:val="868686"/>
      <w:shd w:val="clear" w:color="auto" w:fill="3E3E3E"/>
    </w:rPr>
  </w:style>
  <w:style w:type="character" w:customStyle="1" w:styleId="104">
    <w:name w:val="font31"/>
    <w:qFormat/>
    <w:uiPriority w:val="0"/>
    <w:rPr>
      <w:rFonts w:hint="eastAsia" w:ascii="宋体" w:hAnsi="宋体" w:eastAsia="宋体" w:cs="宋体"/>
      <w:color w:val="000000"/>
      <w:sz w:val="21"/>
      <w:szCs w:val="21"/>
      <w:u w:val="none"/>
    </w:rPr>
  </w:style>
  <w:style w:type="character" w:customStyle="1" w:styleId="105">
    <w:name w:val="current22"/>
    <w:qFormat/>
    <w:uiPriority w:val="0"/>
    <w:rPr>
      <w:b/>
      <w:color w:val="000000"/>
      <w:bdr w:val="single" w:color="E89954" w:sz="6" w:space="0"/>
      <w:shd w:val="clear" w:color="auto" w:fill="FFCA7D"/>
    </w:rPr>
  </w:style>
  <w:style w:type="character" w:customStyle="1" w:styleId="106">
    <w:name w:val="disabled22"/>
    <w:qFormat/>
    <w:uiPriority w:val="0"/>
    <w:rPr>
      <w:color w:val="CCCCCC"/>
      <w:bdr w:val="single" w:color="CCCCCC" w:sz="6" w:space="0"/>
    </w:rPr>
  </w:style>
  <w:style w:type="character" w:customStyle="1" w:styleId="107">
    <w:name w:val="纯文本 Char1"/>
    <w:qFormat/>
    <w:uiPriority w:val="0"/>
    <w:rPr>
      <w:rFonts w:ascii="宋体" w:hAnsi="Courier New" w:eastAsia="宋体" w:cs="Courier New"/>
      <w:szCs w:val="21"/>
    </w:rPr>
  </w:style>
  <w:style w:type="character" w:customStyle="1" w:styleId="108">
    <w:name w:val="页眉 Char"/>
    <w:link w:val="20"/>
    <w:qFormat/>
    <w:uiPriority w:val="0"/>
    <w:rPr>
      <w:sz w:val="18"/>
      <w:szCs w:val="18"/>
    </w:rPr>
  </w:style>
  <w:style w:type="character" w:customStyle="1" w:styleId="109">
    <w:name w:val="批注引用1"/>
    <w:qFormat/>
    <w:uiPriority w:val="0"/>
    <w:rPr>
      <w:sz w:val="21"/>
      <w:szCs w:val="21"/>
    </w:rPr>
  </w:style>
  <w:style w:type="character" w:customStyle="1" w:styleId="110">
    <w:name w:val="样式4 字符"/>
    <w:link w:val="66"/>
    <w:qFormat/>
    <w:uiPriority w:val="0"/>
    <w:rPr>
      <w:rFonts w:ascii="宋体" w:hAnsi="宋体"/>
      <w:b/>
      <w:bCs/>
      <w:kern w:val="2"/>
      <w:sz w:val="32"/>
      <w:szCs w:val="32"/>
    </w:rPr>
  </w:style>
  <w:style w:type="character" w:customStyle="1" w:styleId="111">
    <w:name w:val="current2"/>
    <w:qFormat/>
    <w:uiPriority w:val="0"/>
    <w:rPr>
      <w:b/>
      <w:color w:val="444444"/>
      <w:bdr w:val="single" w:color="B7D8EE" w:sz="6" w:space="0"/>
      <w:shd w:val="clear" w:color="auto" w:fill="D2EAF6"/>
    </w:rPr>
  </w:style>
  <w:style w:type="character" w:customStyle="1" w:styleId="112">
    <w:name w:val="尾注文本 Char"/>
    <w:basedOn w:val="33"/>
    <w:link w:val="17"/>
    <w:qFormat/>
    <w:uiPriority w:val="0"/>
  </w:style>
  <w:style w:type="character" w:customStyle="1" w:styleId="113">
    <w:name w:val="current14"/>
    <w:qFormat/>
    <w:uiPriority w:val="0"/>
    <w:rPr>
      <w:b/>
      <w:color w:val="AAAAAA"/>
      <w:bdr w:val="single" w:color="E0E0E0" w:sz="6" w:space="0"/>
      <w:shd w:val="clear" w:color="auto" w:fill="F0F0F0"/>
    </w:rPr>
  </w:style>
  <w:style w:type="character" w:customStyle="1" w:styleId="114">
    <w:name w:val="current19"/>
    <w:qFormat/>
    <w:uiPriority w:val="0"/>
    <w:rPr>
      <w:b/>
      <w:color w:val="000000"/>
      <w:bdr w:val="single" w:color="FFFFFF" w:sz="12" w:space="0"/>
    </w:rPr>
  </w:style>
  <w:style w:type="character" w:customStyle="1" w:styleId="115">
    <w:name w:val="current9"/>
    <w:qFormat/>
    <w:uiPriority w:val="0"/>
    <w:rPr>
      <w:b/>
      <w:color w:val="FFFFFF"/>
      <w:bdr w:val="single" w:color="AAD83E" w:sz="6" w:space="0"/>
      <w:shd w:val="clear" w:color="auto" w:fill="AAD83E"/>
    </w:rPr>
  </w:style>
  <w:style w:type="character" w:customStyle="1" w:styleId="116">
    <w:name w:val="正文缩进2字符 Char Char"/>
    <w:link w:val="117"/>
    <w:qFormat/>
    <w:uiPriority w:val="0"/>
    <w:rPr>
      <w:rFonts w:cs="宋体"/>
      <w:sz w:val="24"/>
    </w:rPr>
  </w:style>
  <w:style w:type="paragraph" w:customStyle="1" w:styleId="117">
    <w:name w:val="正文缩进2字符"/>
    <w:basedOn w:val="1"/>
    <w:link w:val="116"/>
    <w:qFormat/>
    <w:uiPriority w:val="0"/>
    <w:pPr>
      <w:spacing w:line="360" w:lineRule="auto"/>
      <w:ind w:firstLine="480" w:firstLineChars="200"/>
    </w:pPr>
    <w:rPr>
      <w:rFonts w:cs="宋体"/>
      <w:sz w:val="24"/>
    </w:rPr>
  </w:style>
  <w:style w:type="character" w:customStyle="1" w:styleId="118">
    <w:name w:val="标题 1 Char"/>
    <w:link w:val="3"/>
    <w:qFormat/>
    <w:uiPriority w:val="0"/>
    <w:rPr>
      <w:b/>
      <w:bCs/>
      <w:kern w:val="44"/>
      <w:sz w:val="44"/>
      <w:szCs w:val="44"/>
    </w:rPr>
  </w:style>
  <w:style w:type="character" w:customStyle="1" w:styleId="119">
    <w:name w:val="文档结构图 Char1"/>
    <w:link w:val="120"/>
    <w:qFormat/>
    <w:uiPriority w:val="0"/>
    <w:rPr>
      <w:rFonts w:ascii="宋体" w:hAnsi="Calibri" w:eastAsia="宋体" w:cs="黑体"/>
      <w:sz w:val="18"/>
      <w:szCs w:val="18"/>
    </w:rPr>
  </w:style>
  <w:style w:type="paragraph" w:customStyle="1" w:styleId="120">
    <w:name w:val="文档结构图2"/>
    <w:basedOn w:val="1"/>
    <w:link w:val="119"/>
    <w:qFormat/>
    <w:uiPriority w:val="0"/>
    <w:rPr>
      <w:rFonts w:ascii="宋体" w:cs="黑体"/>
      <w:sz w:val="18"/>
      <w:szCs w:val="18"/>
    </w:rPr>
  </w:style>
  <w:style w:type="character" w:customStyle="1" w:styleId="121">
    <w:name w:val="current16"/>
    <w:qFormat/>
    <w:uiPriority w:val="0"/>
    <w:rPr>
      <w:b/>
      <w:color w:val="FFFFFF"/>
      <w:shd w:val="clear" w:color="auto" w:fill="313131"/>
    </w:rPr>
  </w:style>
  <w:style w:type="character" w:customStyle="1" w:styleId="122">
    <w:name w:val="font112"/>
    <w:qFormat/>
    <w:uiPriority w:val="0"/>
    <w:rPr>
      <w:rFonts w:ascii="Wingdings 2" w:hAnsi="Wingdings 2" w:eastAsia="Wingdings 2" w:cs="Wingdings 2"/>
      <w:color w:val="000000"/>
      <w:sz w:val="18"/>
      <w:szCs w:val="18"/>
      <w:u w:val="none"/>
    </w:rPr>
  </w:style>
  <w:style w:type="character" w:customStyle="1" w:styleId="123">
    <w:name w:val="文档结构图 Char"/>
    <w:link w:val="10"/>
    <w:qFormat/>
    <w:uiPriority w:val="0"/>
    <w:rPr>
      <w:rFonts w:ascii="宋体" w:eastAsia="宋体"/>
      <w:sz w:val="18"/>
      <w:szCs w:val="18"/>
    </w:rPr>
  </w:style>
  <w:style w:type="character" w:customStyle="1" w:styleId="124">
    <w:name w:val="纯文本 Char"/>
    <w:link w:val="16"/>
    <w:qFormat/>
    <w:uiPriority w:val="0"/>
    <w:rPr>
      <w:rFonts w:ascii="宋体" w:hAnsi="Courier New" w:cs="Courier New"/>
      <w:szCs w:val="21"/>
    </w:rPr>
  </w:style>
  <w:style w:type="character" w:customStyle="1" w:styleId="125">
    <w:name w:val="日期 Char"/>
    <w:link w:val="126"/>
    <w:qFormat/>
    <w:uiPriority w:val="0"/>
    <w:rPr>
      <w:rFonts w:ascii="Calibri" w:hAnsi="Calibri" w:cs="黑体"/>
    </w:rPr>
  </w:style>
  <w:style w:type="paragraph" w:customStyle="1" w:styleId="126">
    <w:name w:val="日期1"/>
    <w:basedOn w:val="1"/>
    <w:next w:val="1"/>
    <w:link w:val="125"/>
    <w:qFormat/>
    <w:uiPriority w:val="0"/>
    <w:pPr>
      <w:ind w:left="100" w:leftChars="2500"/>
    </w:pPr>
    <w:rPr>
      <w:rFonts w:cs="黑体"/>
    </w:rPr>
  </w:style>
  <w:style w:type="character" w:customStyle="1" w:styleId="127">
    <w:name w:val="first-child"/>
    <w:basedOn w:val="33"/>
    <w:qFormat/>
    <w:uiPriority w:val="0"/>
  </w:style>
  <w:style w:type="character" w:customStyle="1" w:styleId="128">
    <w:name w:val="current10"/>
    <w:qFormat/>
    <w:uiPriority w:val="0"/>
    <w:rPr>
      <w:b/>
      <w:color w:val="FFFFFF"/>
      <w:bdr w:val="single" w:color="000099" w:sz="6" w:space="0"/>
      <w:shd w:val="clear" w:color="auto" w:fill="000099"/>
    </w:rPr>
  </w:style>
  <w:style w:type="character" w:customStyle="1" w:styleId="129">
    <w:name w:val="fontstyle01"/>
    <w:qFormat/>
    <w:uiPriority w:val="0"/>
    <w:rPr>
      <w:rFonts w:hint="eastAsia" w:ascii="宋体" w:hAnsi="宋体" w:eastAsia="宋体"/>
      <w:color w:val="000000"/>
      <w:sz w:val="22"/>
      <w:szCs w:val="22"/>
    </w:rPr>
  </w:style>
  <w:style w:type="character" w:customStyle="1" w:styleId="130">
    <w:name w:val="font121"/>
    <w:qFormat/>
    <w:uiPriority w:val="0"/>
    <w:rPr>
      <w:rFonts w:hint="default" w:ascii="Times New Roman" w:hAnsi="Times New Roman" w:cs="Times New Roman"/>
      <w:color w:val="000000"/>
      <w:sz w:val="18"/>
      <w:szCs w:val="18"/>
      <w:u w:val="none"/>
    </w:rPr>
  </w:style>
  <w:style w:type="character" w:customStyle="1" w:styleId="131">
    <w:name w:val="disabled20"/>
    <w:qFormat/>
    <w:uiPriority w:val="0"/>
    <w:rPr>
      <w:color w:val="ADAAAD"/>
    </w:rPr>
  </w:style>
  <w:style w:type="character" w:customStyle="1" w:styleId="132">
    <w:name w:val="批注主题 Char"/>
    <w:link w:val="28"/>
    <w:qFormat/>
    <w:uiPriority w:val="0"/>
    <w:rPr>
      <w:b/>
      <w:bCs/>
    </w:rPr>
  </w:style>
  <w:style w:type="character" w:customStyle="1" w:styleId="133">
    <w:name w:val="disabled18"/>
    <w:qFormat/>
    <w:uiPriority w:val="0"/>
    <w:rPr>
      <w:vanish/>
    </w:rPr>
  </w:style>
  <w:style w:type="character" w:customStyle="1" w:styleId="134">
    <w:name w:val="current3"/>
    <w:qFormat/>
    <w:uiPriority w:val="0"/>
    <w:rPr>
      <w:b/>
      <w:color w:val="000000"/>
    </w:rPr>
  </w:style>
  <w:style w:type="character" w:customStyle="1" w:styleId="135">
    <w:name w:val="current15"/>
    <w:qFormat/>
    <w:uiPriority w:val="0"/>
    <w:rPr>
      <w:color w:val="FFFFFF"/>
      <w:bdr w:val="single" w:color="008AC8" w:sz="6" w:space="0"/>
      <w:shd w:val="clear" w:color="auto" w:fill="008AC8"/>
    </w:rPr>
  </w:style>
  <w:style w:type="character" w:customStyle="1" w:styleId="136">
    <w:name w:val="副标题 Char"/>
    <w:link w:val="23"/>
    <w:qFormat/>
    <w:uiPriority w:val="0"/>
    <w:rPr>
      <w:rFonts w:ascii="Cambria" w:hAnsi="Cambria" w:eastAsia="宋体" w:cs="Times New Roman"/>
      <w:b/>
      <w:bCs/>
      <w:kern w:val="28"/>
      <w:sz w:val="32"/>
      <w:szCs w:val="32"/>
    </w:rPr>
  </w:style>
  <w:style w:type="character" w:customStyle="1" w:styleId="137">
    <w:name w:val="disabled1"/>
    <w:qFormat/>
    <w:uiPriority w:val="0"/>
    <w:rPr>
      <w:color w:val="929292"/>
      <w:bdr w:val="single" w:color="929292" w:sz="6" w:space="0"/>
    </w:rPr>
  </w:style>
  <w:style w:type="character" w:customStyle="1" w:styleId="138">
    <w:name w:val="标题 3 Char Char"/>
    <w:link w:val="139"/>
    <w:qFormat/>
    <w:uiPriority w:val="0"/>
    <w:rPr>
      <w:rFonts w:ascii="Arial" w:hAnsi="Arial" w:eastAsia="黑体"/>
      <w:b/>
      <w:bCs/>
      <w:sz w:val="28"/>
      <w:szCs w:val="32"/>
    </w:rPr>
  </w:style>
  <w:style w:type="paragraph" w:customStyle="1" w:styleId="139">
    <w:name w:val="标题 3_0"/>
    <w:basedOn w:val="1"/>
    <w:next w:val="1"/>
    <w:link w:val="138"/>
    <w:qFormat/>
    <w:uiPriority w:val="0"/>
    <w:pPr>
      <w:keepNext/>
      <w:keepLines/>
      <w:spacing w:line="360" w:lineRule="auto"/>
      <w:ind w:firstLine="200" w:firstLineChars="200"/>
    </w:pPr>
    <w:rPr>
      <w:rFonts w:ascii="Arial" w:hAnsi="Arial" w:eastAsia="黑体"/>
      <w:b/>
      <w:bCs/>
      <w:sz w:val="28"/>
      <w:szCs w:val="32"/>
    </w:rPr>
  </w:style>
  <w:style w:type="character" w:customStyle="1" w:styleId="140">
    <w:name w:val="引用 Char"/>
    <w:link w:val="22"/>
    <w:qFormat/>
    <w:uiPriority w:val="0"/>
    <w:rPr>
      <w:i/>
      <w:iCs/>
      <w:color w:val="000000"/>
    </w:rPr>
  </w:style>
  <w:style w:type="character" w:customStyle="1" w:styleId="141">
    <w:name w:val="正文缩进 Char"/>
    <w:link w:val="9"/>
    <w:qFormat/>
    <w:uiPriority w:val="0"/>
  </w:style>
  <w:style w:type="character" w:customStyle="1" w:styleId="142">
    <w:name w:val="正文文本 字符1"/>
    <w:basedOn w:val="33"/>
    <w:qFormat/>
    <w:uiPriority w:val="0"/>
  </w:style>
  <w:style w:type="character" w:customStyle="1" w:styleId="143">
    <w:name w:val="disabled21"/>
    <w:qFormat/>
    <w:uiPriority w:val="0"/>
    <w:rPr>
      <w:vanish/>
    </w:rPr>
  </w:style>
  <w:style w:type="character" w:customStyle="1" w:styleId="144">
    <w:name w:val="HTML 预设格式 Char"/>
    <w:link w:val="25"/>
    <w:qFormat/>
    <w:uiPriority w:val="0"/>
    <w:rPr>
      <w:rFonts w:ascii="宋体" w:hAnsi="宋体" w:cs="宋体"/>
      <w:sz w:val="24"/>
      <w:szCs w:val="24"/>
    </w:rPr>
  </w:style>
  <w:style w:type="paragraph" w:customStyle="1" w:styleId="145">
    <w:name w:val="font5"/>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46">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left"/>
      <w:textAlignment w:val="center"/>
    </w:pPr>
    <w:rPr>
      <w:rFonts w:ascii="宋体" w:hAnsi="宋体" w:cs="宋体"/>
      <w:color w:val="000000"/>
      <w:kern w:val="0"/>
      <w:sz w:val="24"/>
      <w:szCs w:val="24"/>
    </w:rPr>
  </w:style>
  <w:style w:type="paragraph" w:customStyle="1" w:styleId="147">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48">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49">
    <w:name w:val="xl6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50">
    <w:name w:val="xl102"/>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color w:val="000000"/>
      <w:kern w:val="0"/>
      <w:sz w:val="24"/>
      <w:szCs w:val="24"/>
    </w:rPr>
  </w:style>
  <w:style w:type="paragraph" w:customStyle="1" w:styleId="15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15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153">
    <w:name w:val="xl7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5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155">
    <w:name w:val="xl103"/>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color w:val="000000"/>
      <w:kern w:val="0"/>
      <w:sz w:val="24"/>
      <w:szCs w:val="24"/>
    </w:rPr>
  </w:style>
  <w:style w:type="paragraph" w:customStyle="1" w:styleId="156">
    <w:name w:val="中等深浅网格 1 - 着色 21"/>
    <w:basedOn w:val="1"/>
    <w:qFormat/>
    <w:uiPriority w:val="0"/>
    <w:pPr>
      <w:ind w:firstLine="420" w:firstLineChars="200"/>
    </w:pPr>
    <w:rPr>
      <w:kern w:val="0"/>
      <w:sz w:val="20"/>
      <w:szCs w:val="20"/>
    </w:rPr>
  </w:style>
  <w:style w:type="paragraph" w:customStyle="1" w:styleId="157">
    <w:name w:val="xl7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color w:val="000000"/>
      <w:kern w:val="0"/>
      <w:sz w:val="24"/>
      <w:szCs w:val="24"/>
    </w:rPr>
  </w:style>
  <w:style w:type="paragraph" w:customStyle="1" w:styleId="15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159">
    <w:name w:val="xl100"/>
    <w:basedOn w:val="1"/>
    <w:qFormat/>
    <w:uiPriority w:val="0"/>
    <w:pPr>
      <w:widowControl/>
      <w:pBdr>
        <w:left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60">
    <w:name w:val="表格内容居中"/>
    <w:basedOn w:val="1"/>
    <w:qFormat/>
    <w:uiPriority w:val="0"/>
    <w:pPr>
      <w:adjustRightInd w:val="0"/>
      <w:snapToGrid w:val="0"/>
      <w:jc w:val="center"/>
    </w:pPr>
    <w:rPr>
      <w:rFonts w:ascii="Times New Roman" w:hAnsi="Times New Roman"/>
      <w:szCs w:val="24"/>
    </w:rPr>
  </w:style>
  <w:style w:type="paragraph" w:customStyle="1" w:styleId="161">
    <w:name w:val="正文缩进2"/>
    <w:basedOn w:val="1"/>
    <w:qFormat/>
    <w:uiPriority w:val="0"/>
    <w:pPr>
      <w:ind w:firstLine="420" w:firstLineChars="200"/>
    </w:pPr>
    <w:rPr>
      <w:rFonts w:ascii="Times New Roman" w:hAnsi="Times New Roman"/>
      <w:kern w:val="0"/>
      <w:sz w:val="24"/>
      <w:szCs w:val="24"/>
    </w:rPr>
  </w:style>
  <w:style w:type="paragraph" w:customStyle="1" w:styleId="162">
    <w:name w:val="xl67"/>
    <w:basedOn w:val="1"/>
    <w:qFormat/>
    <w:uiPriority w:val="0"/>
    <w:pPr>
      <w:widowControl/>
      <w:pBdr>
        <w:right w:val="single" w:color="000000" w:sz="8" w:space="0"/>
      </w:pBdr>
      <w:spacing w:before="100" w:beforeAutospacing="1" w:after="100" w:afterAutospacing="1"/>
      <w:textAlignment w:val="center"/>
    </w:pPr>
    <w:rPr>
      <w:rFonts w:ascii="宋体" w:hAnsi="宋体" w:cs="宋体"/>
      <w:color w:val="000000"/>
      <w:kern w:val="0"/>
      <w:sz w:val="24"/>
      <w:szCs w:val="24"/>
    </w:rPr>
  </w:style>
  <w:style w:type="paragraph" w:customStyle="1" w:styleId="16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6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16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rFonts w:ascii="宋体" w:hAnsi="宋体" w:cs="宋体"/>
      <w:b/>
      <w:bCs/>
      <w:kern w:val="0"/>
      <w:sz w:val="24"/>
      <w:szCs w:val="24"/>
    </w:rPr>
  </w:style>
  <w:style w:type="paragraph" w:customStyle="1" w:styleId="16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167">
    <w:name w:val="xl6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b/>
      <w:bCs/>
      <w:color w:val="000000"/>
      <w:kern w:val="0"/>
      <w:sz w:val="24"/>
      <w:szCs w:val="24"/>
    </w:rPr>
  </w:style>
  <w:style w:type="paragraph" w:customStyle="1" w:styleId="168">
    <w:name w:val="文档结构图1"/>
    <w:basedOn w:val="1"/>
    <w:qFormat/>
    <w:uiPriority w:val="0"/>
    <w:rPr>
      <w:rFonts w:ascii="宋体" w:hAnsi="Times New Roman"/>
      <w:kern w:val="0"/>
      <w:sz w:val="18"/>
      <w:szCs w:val="18"/>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4"/>
      <w:szCs w:val="24"/>
    </w:rPr>
  </w:style>
  <w:style w:type="paragraph" w:customStyle="1" w:styleId="170">
    <w:name w:val="模板正文"/>
    <w:basedOn w:val="1"/>
    <w:qFormat/>
    <w:uiPriority w:val="0"/>
    <w:pPr>
      <w:wordWrap w:val="0"/>
      <w:spacing w:beforeLines="50" w:line="360" w:lineRule="auto"/>
      <w:ind w:firstLine="480" w:firstLineChars="200"/>
    </w:pPr>
    <w:rPr>
      <w:rFonts w:ascii="Times New Roman" w:hAnsi="Times New Roman" w:eastAsia="仿宋"/>
      <w:kern w:val="0"/>
      <w:sz w:val="24"/>
      <w:szCs w:val="21"/>
      <w:lang w:val="zh-CN"/>
    </w:rPr>
  </w:style>
  <w:style w:type="paragraph" w:customStyle="1" w:styleId="171">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72">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cs="黑体"/>
      <w:sz w:val="28"/>
      <w:szCs w:val="24"/>
    </w:rPr>
  </w:style>
  <w:style w:type="paragraph" w:customStyle="1" w:styleId="173">
    <w:name w:val="普通(网站)1"/>
    <w:basedOn w:val="1"/>
    <w:qFormat/>
    <w:uiPriority w:val="0"/>
    <w:pPr>
      <w:widowControl/>
      <w:spacing w:before="100" w:beforeAutospacing="1" w:after="100" w:afterAutospacing="1"/>
      <w:jc w:val="left"/>
    </w:pPr>
    <w:rPr>
      <w:rFonts w:ascii="宋体" w:hAnsi="宋体" w:cs="黑体"/>
      <w:kern w:val="0"/>
      <w:sz w:val="24"/>
      <w:szCs w:val="24"/>
    </w:rPr>
  </w:style>
  <w:style w:type="paragraph" w:customStyle="1" w:styleId="174">
    <w:name w:val="_Style 1"/>
    <w:basedOn w:val="1"/>
    <w:qFormat/>
    <w:uiPriority w:val="0"/>
    <w:pPr>
      <w:widowControl/>
      <w:ind w:firstLine="420" w:firstLineChars="200"/>
      <w:jc w:val="left"/>
    </w:pPr>
    <w:rPr>
      <w:rFonts w:ascii="宋体" w:hAnsi="宋体"/>
      <w:kern w:val="0"/>
      <w:sz w:val="24"/>
      <w:szCs w:val="24"/>
    </w:rPr>
  </w:style>
  <w:style w:type="paragraph" w:customStyle="1" w:styleId="175">
    <w:name w:val="正文文本 21"/>
    <w:basedOn w:val="1"/>
    <w:qFormat/>
    <w:uiPriority w:val="0"/>
    <w:rPr>
      <w:rFonts w:ascii="仿宋_GB2312" w:cs="黑体"/>
      <w:b/>
      <w:bCs/>
      <w:kern w:val="44"/>
      <w:szCs w:val="44"/>
    </w:rPr>
  </w:style>
  <w:style w:type="paragraph" w:customStyle="1" w:styleId="17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78">
    <w:name w:val="xl70"/>
    <w:basedOn w:val="1"/>
    <w:qFormat/>
    <w:uiPriority w:val="0"/>
    <w:pPr>
      <w:widowControl/>
      <w:pBdr>
        <w:right w:val="single" w:color="000000" w:sz="8"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79">
    <w:name w:val="文本块1"/>
    <w:basedOn w:val="1"/>
    <w:next w:val="1"/>
    <w:qFormat/>
    <w:uiPriority w:val="0"/>
    <w:rPr>
      <w:rFonts w:ascii="Times New Roman" w:hAnsi="Times New Roman"/>
      <w:i/>
      <w:iCs/>
      <w:color w:val="000000"/>
      <w:kern w:val="0"/>
      <w:sz w:val="20"/>
      <w:szCs w:val="20"/>
    </w:rPr>
  </w:style>
  <w:style w:type="paragraph" w:customStyle="1" w:styleId="180">
    <w:name w:val="列出段落3"/>
    <w:basedOn w:val="1"/>
    <w:qFormat/>
    <w:uiPriority w:val="0"/>
    <w:pPr>
      <w:ind w:firstLine="420" w:firstLineChars="200"/>
    </w:pPr>
    <w:rPr>
      <w:szCs w:val="20"/>
    </w:rPr>
  </w:style>
  <w:style w:type="paragraph" w:customStyle="1" w:styleId="181">
    <w:name w:val="标题 4_0"/>
    <w:basedOn w:val="94"/>
    <w:next w:val="1"/>
    <w:qFormat/>
    <w:uiPriority w:val="0"/>
    <w:pPr>
      <w:spacing w:line="360" w:lineRule="auto"/>
      <w:ind w:firstLine="0" w:firstLineChars="0"/>
    </w:pPr>
    <w:rPr>
      <w:b/>
      <w:sz w:val="28"/>
    </w:rPr>
  </w:style>
  <w:style w:type="paragraph" w:customStyle="1" w:styleId="18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8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color w:val="000000"/>
      <w:kern w:val="0"/>
      <w:sz w:val="24"/>
      <w:szCs w:val="24"/>
    </w:rPr>
  </w:style>
  <w:style w:type="paragraph" w:customStyle="1" w:styleId="18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86">
    <w:name w:val="xl68"/>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87">
    <w:name w:val="0正文"/>
    <w:basedOn w:val="94"/>
    <w:qFormat/>
    <w:uiPriority w:val="0"/>
    <w:pPr>
      <w:spacing w:line="360" w:lineRule="auto"/>
      <w:ind w:firstLine="624" w:firstLineChars="0"/>
    </w:pPr>
    <w:rPr>
      <w:rFonts w:ascii="仿宋" w:hAnsi="宋体" w:eastAsia="仿宋"/>
      <w:sz w:val="32"/>
    </w:rPr>
  </w:style>
  <w:style w:type="paragraph" w:customStyle="1" w:styleId="188">
    <w:name w:val="样式 段落缩进2 小四 + 段前: 15.6 磅"/>
    <w:basedOn w:val="1"/>
    <w:qFormat/>
    <w:uiPriority w:val="0"/>
    <w:pPr>
      <w:spacing w:before="312" w:line="360" w:lineRule="auto"/>
      <w:ind w:firstLine="480" w:firstLineChars="200"/>
    </w:pPr>
    <w:rPr>
      <w:rFonts w:ascii="宋体" w:hAnsi="宋体" w:cs="黑体"/>
      <w:sz w:val="24"/>
      <w:szCs w:val="20"/>
    </w:rPr>
  </w:style>
  <w:style w:type="paragraph" w:customStyle="1" w:styleId="189">
    <w:name w:val="_Style 3"/>
    <w:basedOn w:val="1"/>
    <w:qFormat/>
    <w:uiPriority w:val="0"/>
    <w:pPr>
      <w:widowControl/>
      <w:spacing w:before="50" w:line="360" w:lineRule="auto"/>
      <w:ind w:firstLine="420" w:firstLineChars="200"/>
      <w:jc w:val="left"/>
    </w:pPr>
    <w:rPr>
      <w:sz w:val="28"/>
    </w:rPr>
  </w:style>
  <w:style w:type="paragraph" w:customStyle="1" w:styleId="19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191">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2">
    <w:name w:val="列出段落2"/>
    <w:basedOn w:val="1"/>
    <w:qFormat/>
    <w:uiPriority w:val="0"/>
    <w:pPr>
      <w:ind w:firstLine="420" w:firstLineChars="200"/>
    </w:pPr>
    <w:rPr>
      <w:rFonts w:ascii="Times New Roman" w:hAnsi="Times New Roman"/>
      <w:szCs w:val="24"/>
    </w:rPr>
  </w:style>
  <w:style w:type="paragraph" w:customStyle="1" w:styleId="193">
    <w:name w:val="font8"/>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194">
    <w:name w:val="纯文本1"/>
    <w:basedOn w:val="1"/>
    <w:qFormat/>
    <w:uiPriority w:val="0"/>
    <w:rPr>
      <w:rFonts w:ascii="宋体" w:hAnsi="Courier New"/>
      <w:kern w:val="0"/>
      <w:sz w:val="20"/>
      <w:szCs w:val="21"/>
    </w:rPr>
  </w:style>
  <w:style w:type="paragraph" w:customStyle="1" w:styleId="195">
    <w:name w:val="font6"/>
    <w:basedOn w:val="1"/>
    <w:qFormat/>
    <w:uiPriority w:val="0"/>
    <w:pPr>
      <w:widowControl/>
      <w:spacing w:before="100" w:beforeAutospacing="1" w:after="100" w:afterAutospacing="1"/>
      <w:jc w:val="left"/>
    </w:pPr>
    <w:rPr>
      <w:color w:val="000000"/>
      <w:kern w:val="0"/>
      <w:sz w:val="22"/>
    </w:rPr>
  </w:style>
  <w:style w:type="paragraph" w:customStyle="1" w:styleId="196">
    <w:name w:val="样式3"/>
    <w:basedOn w:val="197"/>
    <w:qFormat/>
    <w:uiPriority w:val="0"/>
    <w:pPr>
      <w:spacing w:line="0" w:lineRule="atLeast"/>
      <w:outlineLvl w:val="0"/>
    </w:pPr>
    <w:rPr>
      <w:sz w:val="28"/>
    </w:rPr>
  </w:style>
  <w:style w:type="paragraph" w:customStyle="1" w:styleId="197">
    <w:name w:val="纯文本2"/>
    <w:basedOn w:val="1"/>
    <w:qFormat/>
    <w:uiPriority w:val="0"/>
    <w:rPr>
      <w:rFonts w:hint="eastAsia" w:ascii="宋体" w:hAnsi="Courier New" w:cs="黑体"/>
      <w:szCs w:val="20"/>
    </w:rPr>
  </w:style>
  <w:style w:type="paragraph" w:customStyle="1" w:styleId="198">
    <w:name w:val="Char1 Char"/>
    <w:basedOn w:val="1"/>
    <w:qFormat/>
    <w:uiPriority w:val="0"/>
    <w:pPr>
      <w:spacing w:line="360" w:lineRule="auto"/>
      <w:ind w:left="1073" w:hanging="420" w:firstLineChars="200"/>
    </w:pPr>
    <w:rPr>
      <w:sz w:val="24"/>
      <w:szCs w:val="24"/>
    </w:rPr>
  </w:style>
  <w:style w:type="paragraph" w:customStyle="1" w:styleId="199">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200">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201">
    <w:name w:val="0表头样式"/>
    <w:basedOn w:val="202"/>
    <w:qFormat/>
    <w:uiPriority w:val="0"/>
    <w:pPr>
      <w:jc w:val="center"/>
    </w:pPr>
    <w:rPr>
      <w:b/>
    </w:rPr>
  </w:style>
  <w:style w:type="paragraph" w:customStyle="1" w:styleId="202">
    <w:name w:val="0表格样式"/>
    <w:basedOn w:val="1"/>
    <w:qFormat/>
    <w:uiPriority w:val="0"/>
    <w:rPr>
      <w:szCs w:val="21"/>
    </w:rPr>
  </w:style>
  <w:style w:type="paragraph" w:customStyle="1" w:styleId="203">
    <w:name w:val="正文_0"/>
    <w:qFormat/>
    <w:uiPriority w:val="0"/>
    <w:pPr>
      <w:widowControl w:val="0"/>
      <w:jc w:val="both"/>
    </w:pPr>
    <w:rPr>
      <w:rFonts w:ascii="等线" w:hAnsi="等线" w:eastAsia="等线" w:cs="Times New Roman"/>
      <w:kern w:val="2"/>
      <w:sz w:val="21"/>
      <w:szCs w:val="21"/>
      <w:lang w:val="en-US" w:eastAsia="zh-CN" w:bidi="ar-SA"/>
    </w:rPr>
  </w:style>
  <w:style w:type="paragraph" w:customStyle="1" w:styleId="204">
    <w:name w:val="工可正文"/>
    <w:basedOn w:val="197"/>
    <w:qFormat/>
    <w:uiPriority w:val="0"/>
    <w:pPr>
      <w:ind w:firstLine="560" w:firstLineChars="200"/>
    </w:pPr>
    <w:rPr>
      <w:rFonts w:ascii="Times New Roman" w:hAnsi="Times New Roman"/>
      <w:sz w:val="28"/>
    </w:rPr>
  </w:style>
  <w:style w:type="paragraph" w:customStyle="1" w:styleId="205">
    <w:name w:val="Table Text"/>
    <w:basedOn w:val="1"/>
    <w:qFormat/>
    <w:uiPriority w:val="0"/>
    <w:pPr>
      <w:topLinePunct/>
      <w:adjustRightInd w:val="0"/>
      <w:snapToGrid w:val="0"/>
      <w:spacing w:before="80" w:after="80" w:line="240" w:lineRule="atLeast"/>
      <w:jc w:val="left"/>
    </w:pPr>
    <w:rPr>
      <w:rFonts w:ascii="Times New Roman" w:hAnsi="Times New Roman" w:cs="Arial"/>
      <w:snapToGrid w:val="0"/>
      <w:kern w:val="0"/>
      <w:sz w:val="24"/>
      <w:szCs w:val="21"/>
      <w:lang w:val="en-GB"/>
    </w:rPr>
  </w:style>
  <w:style w:type="paragraph" w:customStyle="1" w:styleId="206">
    <w:name w:val="p0"/>
    <w:basedOn w:val="1"/>
    <w:qFormat/>
    <w:uiPriority w:val="0"/>
    <w:pPr>
      <w:widowControl/>
    </w:pPr>
    <w:rPr>
      <w:rFonts w:ascii="Arial" w:hAnsi="Arial" w:cs="Arial"/>
      <w:kern w:val="0"/>
      <w:sz w:val="24"/>
      <w:szCs w:val="24"/>
    </w:rPr>
  </w:style>
  <w:style w:type="paragraph" w:customStyle="1" w:styleId="207">
    <w:name w:val="标题 6_0"/>
    <w:basedOn w:val="1"/>
    <w:next w:val="1"/>
    <w:qFormat/>
    <w:uiPriority w:val="0"/>
    <w:pPr>
      <w:keepNext/>
      <w:keepLines/>
      <w:spacing w:before="120" w:after="120" w:line="319" w:lineRule="auto"/>
      <w:ind w:firstLine="200" w:firstLineChars="200"/>
      <w:outlineLvl w:val="5"/>
    </w:pPr>
    <w:rPr>
      <w:rFonts w:ascii="Arial" w:hAnsi="Arial" w:eastAsia="黑体"/>
      <w:b/>
      <w:bCs/>
      <w:kern w:val="0"/>
      <w:sz w:val="24"/>
      <w:szCs w:val="24"/>
    </w:rPr>
  </w:style>
  <w:style w:type="paragraph" w:customStyle="1" w:styleId="208">
    <w:name w:val="样式2"/>
    <w:basedOn w:val="21"/>
    <w:qFormat/>
    <w:uiPriority w:val="0"/>
    <w:pPr>
      <w:spacing w:before="120" w:after="240" w:line="400" w:lineRule="exact"/>
    </w:pPr>
    <w:rPr>
      <w:rFonts w:ascii="黑体" w:hAnsi="宋体"/>
      <w:b w:val="0"/>
      <w:bCs/>
      <w:iCs w:val="0"/>
      <w:color w:val="auto"/>
      <w:kern w:val="2"/>
      <w:sz w:val="32"/>
      <w:szCs w:val="20"/>
    </w:rPr>
  </w:style>
  <w:style w:type="paragraph" w:customStyle="1" w:styleId="209">
    <w:name w:val="xl7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宋体"/>
      <w:color w:val="000000"/>
      <w:kern w:val="0"/>
      <w:szCs w:val="21"/>
    </w:rPr>
  </w:style>
  <w:style w:type="paragraph" w:customStyle="1" w:styleId="210">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11">
    <w:name w:val="TOC 标题11"/>
    <w:basedOn w:val="3"/>
    <w:next w:val="1"/>
    <w:qFormat/>
    <w:uiPriority w:val="0"/>
    <w:pPr>
      <w:widowControl/>
      <w:spacing w:before="480" w:after="0" w:line="276" w:lineRule="auto"/>
      <w:jc w:val="left"/>
      <w:outlineLvl w:val="9"/>
    </w:pPr>
    <w:rPr>
      <w:rFonts w:ascii="Cambria" w:hAnsi="Cambria"/>
      <w:color w:val="365F90"/>
      <w:kern w:val="0"/>
      <w:sz w:val="28"/>
      <w:szCs w:val="28"/>
    </w:rPr>
  </w:style>
  <w:style w:type="paragraph" w:customStyle="1" w:styleId="212">
    <w:name w:val="xl95"/>
    <w:basedOn w:val="1"/>
    <w:qFormat/>
    <w:uiPriority w:val="0"/>
    <w:pPr>
      <w:widowControl/>
      <w:pBdr>
        <w:bottom w:val="single" w:color="000000" w:sz="8" w:space="0"/>
        <w:right w:val="single" w:color="000000" w:sz="8" w:space="0"/>
      </w:pBdr>
      <w:shd w:val="clear" w:color="000000" w:fill="EEECE1"/>
      <w:spacing w:before="100" w:beforeAutospacing="1" w:after="100" w:afterAutospacing="1"/>
      <w:textAlignment w:val="center"/>
    </w:pPr>
    <w:rPr>
      <w:rFonts w:ascii="宋体" w:hAnsi="宋体" w:cs="宋体"/>
      <w:color w:val="000000"/>
      <w:kern w:val="0"/>
      <w:sz w:val="24"/>
      <w:szCs w:val="24"/>
    </w:rPr>
  </w:style>
  <w:style w:type="paragraph" w:customStyle="1" w:styleId="213">
    <w:name w:val="列出段落1"/>
    <w:basedOn w:val="1"/>
    <w:qFormat/>
    <w:uiPriority w:val="34"/>
    <w:pPr>
      <w:ind w:firstLine="420" w:firstLineChars="200"/>
    </w:pPr>
    <w:rPr>
      <w:rFonts w:ascii="Times New Roman" w:hAnsi="Times New Roman"/>
      <w:sz w:val="28"/>
      <w:szCs w:val="24"/>
    </w:rPr>
  </w:style>
  <w:style w:type="paragraph" w:customStyle="1" w:styleId="214">
    <w:name w:val="批注主题1"/>
    <w:basedOn w:val="11"/>
    <w:next w:val="11"/>
    <w:qFormat/>
    <w:uiPriority w:val="0"/>
  </w:style>
  <w:style w:type="paragraph" w:customStyle="1" w:styleId="215">
    <w:name w:val="xl64"/>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b/>
      <w:bCs/>
      <w:kern w:val="0"/>
      <w:sz w:val="24"/>
      <w:szCs w:val="24"/>
    </w:rPr>
  </w:style>
  <w:style w:type="paragraph" w:customStyle="1" w:styleId="216">
    <w:name w:val="正文2"/>
    <w:basedOn w:val="12"/>
    <w:qFormat/>
    <w:uiPriority w:val="0"/>
    <w:pPr>
      <w:spacing w:line="360" w:lineRule="auto"/>
      <w:ind w:firstLine="480" w:firstLineChars="200"/>
    </w:pPr>
    <w:rPr>
      <w:rFonts w:ascii="宋体" w:cs="黑体"/>
      <w:sz w:val="21"/>
    </w:rPr>
  </w:style>
  <w:style w:type="paragraph" w:customStyle="1" w:styleId="21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center"/>
    </w:pPr>
    <w:rPr>
      <w:rFonts w:ascii="宋体" w:hAnsi="宋体" w:cs="宋体"/>
      <w:color w:val="000000"/>
      <w:kern w:val="0"/>
      <w:sz w:val="24"/>
      <w:szCs w:val="24"/>
    </w:rPr>
  </w:style>
  <w:style w:type="paragraph" w:customStyle="1" w:styleId="218">
    <w:name w:val="xl9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219">
    <w:name w:val="_正文段落"/>
    <w:basedOn w:val="1"/>
    <w:qFormat/>
    <w:uiPriority w:val="0"/>
    <w:pPr>
      <w:spacing w:beforeLines="15" w:line="360" w:lineRule="auto"/>
      <w:ind w:firstLine="200" w:firstLineChars="200"/>
    </w:pPr>
    <w:rPr>
      <w:kern w:val="0"/>
      <w:sz w:val="24"/>
      <w:szCs w:val="20"/>
    </w:rPr>
  </w:style>
  <w:style w:type="paragraph" w:customStyle="1" w:styleId="220">
    <w:name w:val="列表段落1"/>
    <w:basedOn w:val="1"/>
    <w:qFormat/>
    <w:uiPriority w:val="0"/>
    <w:pPr>
      <w:ind w:firstLine="420" w:firstLineChars="200"/>
    </w:pPr>
    <w:rPr>
      <w:rFonts w:ascii="Times New Roman" w:hAnsi="Times New Roman"/>
      <w:sz w:val="28"/>
      <w:szCs w:val="24"/>
    </w:rPr>
  </w:style>
  <w:style w:type="paragraph" w:customStyle="1" w:styleId="221">
    <w:name w:val="xl75"/>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color w:val="000000"/>
      <w:kern w:val="0"/>
      <w:sz w:val="24"/>
      <w:szCs w:val="24"/>
    </w:rPr>
  </w:style>
  <w:style w:type="paragraph" w:customStyle="1" w:styleId="222">
    <w:name w:val="xl65"/>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宋体"/>
      <w:color w:val="000000"/>
      <w:kern w:val="0"/>
      <w:sz w:val="24"/>
      <w:szCs w:val="24"/>
    </w:rPr>
  </w:style>
  <w:style w:type="paragraph" w:customStyle="1" w:styleId="223">
    <w:name w:val="标题 1_0"/>
    <w:basedOn w:val="1"/>
    <w:next w:val="1"/>
    <w:qFormat/>
    <w:uiPriority w:val="0"/>
    <w:pPr>
      <w:keepNext/>
      <w:keepLines/>
      <w:pageBreakBefore/>
      <w:widowControl/>
      <w:spacing w:before="480" w:after="360" w:line="360" w:lineRule="auto"/>
      <w:ind w:firstLine="200" w:firstLineChars="200"/>
      <w:jc w:val="center"/>
      <w:outlineLvl w:val="0"/>
    </w:pPr>
    <w:rPr>
      <w:b/>
      <w:bCs/>
      <w:kern w:val="44"/>
      <w:sz w:val="28"/>
      <w:szCs w:val="44"/>
    </w:rPr>
  </w:style>
  <w:style w:type="paragraph" w:customStyle="1" w:styleId="2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5">
    <w:name w:val="CM4"/>
    <w:basedOn w:val="1"/>
    <w:next w:val="1"/>
    <w:qFormat/>
    <w:uiPriority w:val="0"/>
    <w:pPr>
      <w:autoSpaceDE w:val="0"/>
      <w:autoSpaceDN w:val="0"/>
      <w:adjustRightInd w:val="0"/>
      <w:spacing w:line="626" w:lineRule="atLeast"/>
      <w:jc w:val="left"/>
    </w:pPr>
    <w:rPr>
      <w:rFonts w:ascii="MS UI Gothic" w:hAnsi="Times New Roman" w:eastAsia="MS UI Gothic"/>
      <w:kern w:val="0"/>
      <w:sz w:val="24"/>
      <w:szCs w:val="24"/>
    </w:rPr>
  </w:style>
  <w:style w:type="paragraph" w:customStyle="1" w:styleId="226">
    <w:name w:val="xl72"/>
    <w:basedOn w:val="1"/>
    <w:qFormat/>
    <w:uiPriority w:val="0"/>
    <w:pPr>
      <w:widowControl/>
      <w:pBdr>
        <w:bottom w:val="single" w:color="000000" w:sz="8" w:space="0"/>
        <w:right w:val="single" w:color="000000" w:sz="8" w:space="0"/>
      </w:pBdr>
      <w:spacing w:before="100" w:beforeAutospacing="1" w:after="100" w:afterAutospacing="1"/>
      <w:textAlignment w:val="center"/>
    </w:pPr>
    <w:rPr>
      <w:color w:val="000000"/>
      <w:kern w:val="0"/>
      <w:sz w:val="24"/>
      <w:szCs w:val="24"/>
    </w:rPr>
  </w:style>
  <w:style w:type="paragraph" w:customStyle="1" w:styleId="227">
    <w:name w:val="标题 5_0"/>
    <w:basedOn w:val="1"/>
    <w:next w:val="1"/>
    <w:qFormat/>
    <w:uiPriority w:val="0"/>
    <w:pPr>
      <w:keepNext/>
      <w:keepLines/>
      <w:widowControl/>
      <w:tabs>
        <w:tab w:val="left" w:pos="1008"/>
      </w:tabs>
      <w:spacing w:before="280" w:line="377" w:lineRule="auto"/>
      <w:ind w:firstLine="200" w:firstLineChars="200"/>
      <w:jc w:val="left"/>
      <w:outlineLvl w:val="4"/>
    </w:pPr>
    <w:rPr>
      <w:b/>
      <w:bCs/>
      <w:kern w:val="0"/>
      <w:sz w:val="24"/>
      <w:szCs w:val="28"/>
    </w:rPr>
  </w:style>
  <w:style w:type="paragraph" w:customStyle="1" w:styleId="228">
    <w:name w:val="xl69"/>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Cs w:val="21"/>
    </w:rPr>
  </w:style>
  <w:style w:type="paragraph" w:customStyle="1" w:styleId="229">
    <w:name w:val="xl84"/>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230">
    <w:name w:val="标题 2_0"/>
    <w:basedOn w:val="1"/>
    <w:next w:val="1"/>
    <w:qFormat/>
    <w:uiPriority w:val="0"/>
    <w:pPr>
      <w:keepNext/>
      <w:keepLines/>
      <w:widowControl/>
      <w:spacing w:before="480" w:after="120" w:line="360" w:lineRule="auto"/>
      <w:ind w:firstLine="200" w:firstLineChars="200"/>
      <w:jc w:val="left"/>
      <w:outlineLvl w:val="1"/>
    </w:pPr>
    <w:rPr>
      <w:rFonts w:ascii="Arial" w:hAnsi="Arial"/>
      <w:b/>
      <w:bCs/>
      <w:kern w:val="0"/>
      <w:sz w:val="30"/>
      <w:szCs w:val="32"/>
    </w:rPr>
  </w:style>
  <w:style w:type="paragraph" w:customStyle="1" w:styleId="231">
    <w:name w:val="xl74"/>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cs="宋体"/>
      <w:color w:val="000000"/>
      <w:kern w:val="0"/>
      <w:szCs w:val="21"/>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left"/>
      <w:textAlignment w:val="center"/>
    </w:pPr>
    <w:rPr>
      <w:rFonts w:ascii="宋体" w:hAnsi="宋体" w:cs="宋体"/>
      <w:color w:val="000000"/>
      <w:kern w:val="0"/>
      <w:sz w:val="24"/>
      <w:szCs w:val="24"/>
    </w:rPr>
  </w:style>
  <w:style w:type="paragraph" w:customStyle="1" w:styleId="23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4">
    <w:name w:val="Table Paragraph"/>
    <w:basedOn w:val="1"/>
    <w:qFormat/>
    <w:uiPriority w:val="1"/>
    <w:rPr>
      <w:rFonts w:ascii="宋体" w:hAnsi="宋体" w:cs="宋体"/>
      <w:lang w:val="zh-CN" w:bidi="zh-CN"/>
    </w:rPr>
  </w:style>
  <w:style w:type="character" w:customStyle="1" w:styleId="235">
    <w:name w:val="16"/>
    <w:basedOn w:val="33"/>
    <w:qFormat/>
    <w:uiPriority w:val="0"/>
    <w:rPr>
      <w:rFonts w:hint="default" w:ascii="Arial" w:hAnsi="Arial" w:cs="Arial"/>
      <w:color w:val="000000"/>
      <w:spacing w:val="0"/>
      <w:sz w:val="19"/>
      <w:szCs w:val="19"/>
      <w:shd w:val="clear" w:color="auto" w:fill="FFFFFF"/>
    </w:rPr>
  </w:style>
  <w:style w:type="character" w:customStyle="1" w:styleId="236">
    <w:name w:val="NormalCharacter"/>
    <w:qFormat/>
    <w:uiPriority w:val="0"/>
  </w:style>
  <w:style w:type="paragraph" w:customStyle="1" w:styleId="237">
    <w:name w:val="179"/>
    <w:basedOn w:val="1"/>
    <w:qFormat/>
    <w:uiPriority w:val="0"/>
    <w:pPr>
      <w:ind w:firstLine="420" w:firstLineChars="200"/>
    </w:pPr>
  </w:style>
  <w:style w:type="paragraph" w:customStyle="1" w:styleId="238">
    <w:name w:val="TOC1"/>
    <w:basedOn w:val="1"/>
    <w:next w:val="1"/>
    <w:qFormat/>
    <w:uiPriority w:val="0"/>
    <w:pPr>
      <w:spacing w:line="440" w:lineRule="exact"/>
      <w:jc w:val="left"/>
    </w:pPr>
    <w:rPr>
      <w:rFonts w:eastAsia="黑体"/>
      <w:kern w:val="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44440</Words>
  <Characters>47680</Characters>
  <Lines>499</Lines>
  <Paragraphs>140</Paragraphs>
  <TotalTime>1</TotalTime>
  <ScaleCrop>false</ScaleCrop>
  <LinksUpToDate>false</LinksUpToDate>
  <CharactersWithSpaces>49098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2020-09-02T06:53:00Z</dcterms:created>
  <dc:creator>502-2</dc:creator>
  <cp:lastModifiedBy>李启翱</cp:lastModifiedBy>
  <cp:lastPrinted>2022-07-15T02:13:00Z</cp:lastPrinted>
  <dcterms:modified xsi:type="dcterms:W3CDTF">2022-07-20T01:29:21Z</dcterms:modified>
  <dc:title>潜江市政府采购</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07B2FC3C462A45929DDBC57B61D21ED0</vt:lpwstr>
  </property>
</Properties>
</file>